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66BD" w14:textId="77777777" w:rsidR="005044A8" w:rsidRDefault="005044A8" w:rsidP="005A65D5">
      <w:pPr>
        <w:pBdr>
          <w:bottom w:val="single" w:sz="12" w:space="1" w:color="auto"/>
        </w:pBdr>
        <w:spacing w:after="0"/>
        <w:jc w:val="both"/>
        <w:rPr>
          <w:rFonts w:cs="Arial"/>
          <w:b/>
          <w:sz w:val="28"/>
          <w:szCs w:val="28"/>
        </w:rPr>
      </w:pPr>
    </w:p>
    <w:p w14:paraId="59343065" w14:textId="5B0D895E" w:rsidR="00151A93" w:rsidRPr="00343B89" w:rsidRDefault="00151A93" w:rsidP="005A65D5">
      <w:pPr>
        <w:pBdr>
          <w:bottom w:val="single" w:sz="12" w:space="1" w:color="auto"/>
        </w:pBdr>
        <w:spacing w:after="0"/>
        <w:jc w:val="both"/>
        <w:rPr>
          <w:rFonts w:cs="Arial"/>
          <w:b/>
          <w:sz w:val="28"/>
          <w:szCs w:val="28"/>
        </w:rPr>
      </w:pPr>
      <w:bookmarkStart w:id="0" w:name="_GoBack"/>
      <w:bookmarkEnd w:id="0"/>
      <w:r w:rsidRPr="00343B89">
        <w:rPr>
          <w:rFonts w:cs="Arial"/>
          <w:b/>
          <w:sz w:val="28"/>
          <w:szCs w:val="28"/>
        </w:rPr>
        <w:t>The County Council's Revenue</w:t>
      </w:r>
      <w:r w:rsidR="00DF5474" w:rsidRPr="00343B89">
        <w:rPr>
          <w:rFonts w:cs="Arial"/>
          <w:b/>
          <w:sz w:val="28"/>
          <w:szCs w:val="28"/>
        </w:rPr>
        <w:t xml:space="preserve"> Bu</w:t>
      </w:r>
      <w:r w:rsidR="005A79EE" w:rsidRPr="00343B89">
        <w:rPr>
          <w:rFonts w:cs="Arial"/>
          <w:b/>
          <w:sz w:val="28"/>
          <w:szCs w:val="28"/>
        </w:rPr>
        <w:t xml:space="preserve">dget and Council Tax for </w:t>
      </w:r>
      <w:r w:rsidR="00343B89" w:rsidRPr="00343B89">
        <w:rPr>
          <w:rFonts w:cs="Arial"/>
          <w:b/>
          <w:sz w:val="28"/>
          <w:szCs w:val="28"/>
        </w:rPr>
        <w:t>201</w:t>
      </w:r>
      <w:r w:rsidR="00DE45C1">
        <w:rPr>
          <w:rFonts w:cs="Arial"/>
          <w:b/>
          <w:sz w:val="28"/>
          <w:szCs w:val="28"/>
        </w:rPr>
        <w:t>9</w:t>
      </w:r>
      <w:r w:rsidR="00343B89" w:rsidRPr="00343B89">
        <w:rPr>
          <w:rFonts w:cs="Arial"/>
          <w:b/>
          <w:sz w:val="28"/>
          <w:szCs w:val="28"/>
        </w:rPr>
        <w:t>/</w:t>
      </w:r>
      <w:r w:rsidR="00DE45C1">
        <w:rPr>
          <w:rFonts w:cs="Arial"/>
          <w:b/>
          <w:sz w:val="28"/>
          <w:szCs w:val="28"/>
        </w:rPr>
        <w:t>20</w:t>
      </w:r>
      <w:r w:rsidRPr="00343B89">
        <w:rPr>
          <w:rFonts w:cs="Arial"/>
          <w:b/>
          <w:sz w:val="28"/>
          <w:szCs w:val="28"/>
        </w:rPr>
        <w:t xml:space="preserve"> </w:t>
      </w:r>
      <w:r w:rsidRPr="00015A22">
        <w:rPr>
          <w:rFonts w:cs="Arial"/>
          <w:b/>
          <w:sz w:val="28"/>
          <w:szCs w:val="28"/>
        </w:rPr>
        <w:t xml:space="preserve">and Capital </w:t>
      </w:r>
      <w:r w:rsidR="00F653CB">
        <w:rPr>
          <w:rFonts w:cs="Arial"/>
          <w:b/>
          <w:sz w:val="28"/>
          <w:szCs w:val="28"/>
        </w:rPr>
        <w:t xml:space="preserve">Delivery </w:t>
      </w:r>
      <w:r w:rsidRPr="00015A22">
        <w:rPr>
          <w:rFonts w:cs="Arial"/>
          <w:b/>
          <w:sz w:val="28"/>
          <w:szCs w:val="28"/>
        </w:rPr>
        <w:t xml:space="preserve">Programme for </w:t>
      </w:r>
      <w:r w:rsidR="00DE45C1" w:rsidRPr="00015A22">
        <w:rPr>
          <w:rFonts w:cs="Arial"/>
          <w:b/>
          <w:sz w:val="28"/>
          <w:szCs w:val="28"/>
        </w:rPr>
        <w:t>2019/20</w:t>
      </w:r>
      <w:r w:rsidRPr="00015A22">
        <w:rPr>
          <w:rFonts w:cs="Arial"/>
          <w:b/>
          <w:sz w:val="28"/>
          <w:szCs w:val="28"/>
        </w:rPr>
        <w:t xml:space="preserve"> </w:t>
      </w:r>
    </w:p>
    <w:p w14:paraId="423167CF" w14:textId="77777777" w:rsidR="005A65D5" w:rsidRPr="00E743C3" w:rsidRDefault="005A65D5" w:rsidP="005A65D5">
      <w:pPr>
        <w:spacing w:after="0"/>
        <w:jc w:val="both"/>
        <w:rPr>
          <w:rFonts w:cs="Arial"/>
          <w:b/>
          <w:szCs w:val="24"/>
          <w:highlight w:val="yellow"/>
        </w:rPr>
      </w:pPr>
    </w:p>
    <w:p w14:paraId="7C685739" w14:textId="77777777" w:rsidR="00151A93" w:rsidRPr="00343B89" w:rsidRDefault="005A65D5" w:rsidP="005A65D5">
      <w:pPr>
        <w:spacing w:after="0"/>
        <w:jc w:val="both"/>
        <w:rPr>
          <w:rFonts w:cs="Arial"/>
          <w:b/>
          <w:szCs w:val="24"/>
        </w:rPr>
      </w:pPr>
      <w:r w:rsidRPr="00343B89">
        <w:rPr>
          <w:rFonts w:cs="Arial"/>
          <w:b/>
          <w:szCs w:val="24"/>
        </w:rPr>
        <w:t xml:space="preserve">1. </w:t>
      </w:r>
      <w:r w:rsidR="00151A93" w:rsidRPr="00343B89">
        <w:rPr>
          <w:rFonts w:cs="Arial"/>
          <w:b/>
          <w:szCs w:val="24"/>
        </w:rPr>
        <w:t>Introduction</w:t>
      </w:r>
    </w:p>
    <w:p w14:paraId="49E71C8B" w14:textId="77777777" w:rsidR="005A65D5" w:rsidRPr="00E743C3" w:rsidRDefault="005A65D5" w:rsidP="005A65D5">
      <w:pPr>
        <w:spacing w:after="0"/>
        <w:jc w:val="both"/>
        <w:rPr>
          <w:rFonts w:cs="Arial"/>
          <w:b/>
          <w:szCs w:val="24"/>
          <w:highlight w:val="yellow"/>
        </w:rPr>
      </w:pPr>
    </w:p>
    <w:p w14:paraId="7C06826D" w14:textId="4889A40C" w:rsidR="00C968C2" w:rsidRPr="00015A22" w:rsidRDefault="00605C00" w:rsidP="00C968C2">
      <w:pPr>
        <w:autoSpaceDE w:val="0"/>
        <w:autoSpaceDN w:val="0"/>
        <w:adjustRightInd w:val="0"/>
        <w:spacing w:after="0"/>
        <w:jc w:val="both"/>
        <w:rPr>
          <w:rFonts w:cs="Arial"/>
          <w:szCs w:val="24"/>
        </w:rPr>
      </w:pPr>
      <w:r>
        <w:rPr>
          <w:rFonts w:cs="Arial"/>
          <w:szCs w:val="24"/>
        </w:rPr>
        <w:t>The c</w:t>
      </w:r>
      <w:r w:rsidR="005F6645" w:rsidRPr="00015A22">
        <w:rPr>
          <w:rFonts w:cs="Arial"/>
          <w:szCs w:val="24"/>
        </w:rPr>
        <w:t>ouncil has faced an unprecedented period of financial challenge</w:t>
      </w:r>
      <w:r w:rsidR="003B5C24" w:rsidRPr="00015A22">
        <w:rPr>
          <w:rFonts w:cs="Arial"/>
          <w:szCs w:val="24"/>
        </w:rPr>
        <w:t xml:space="preserve"> since austerity began in 2010. </w:t>
      </w:r>
      <w:r>
        <w:rPr>
          <w:rFonts w:cs="Arial"/>
          <w:szCs w:val="24"/>
        </w:rPr>
        <w:t xml:space="preserve">Like all councils, </w:t>
      </w:r>
      <w:r w:rsidR="00647834">
        <w:rPr>
          <w:rFonts w:cs="Arial"/>
          <w:szCs w:val="24"/>
        </w:rPr>
        <w:t>Lancashire County C</w:t>
      </w:r>
      <w:r w:rsidR="00C968C2" w:rsidRPr="00015A22">
        <w:rPr>
          <w:rFonts w:cs="Arial"/>
          <w:szCs w:val="24"/>
        </w:rPr>
        <w:t>ouncil is facing significant financial pressures, and whil</w:t>
      </w:r>
      <w:r w:rsidR="007A61E4" w:rsidRPr="00015A22">
        <w:rPr>
          <w:rFonts w:cs="Arial"/>
          <w:szCs w:val="24"/>
        </w:rPr>
        <w:t>st</w:t>
      </w:r>
      <w:r w:rsidR="00C968C2" w:rsidRPr="00015A22">
        <w:rPr>
          <w:rFonts w:cs="Arial"/>
          <w:szCs w:val="24"/>
        </w:rPr>
        <w:t xml:space="preserve"> good progress has been made </w:t>
      </w:r>
      <w:r w:rsidR="00664E6A" w:rsidRPr="00015A22">
        <w:rPr>
          <w:rFonts w:cs="Arial"/>
          <w:szCs w:val="24"/>
        </w:rPr>
        <w:t xml:space="preserve">to date </w:t>
      </w:r>
      <w:r w:rsidR="00C968C2" w:rsidRPr="00015A22">
        <w:rPr>
          <w:rFonts w:cs="Arial"/>
          <w:szCs w:val="24"/>
        </w:rPr>
        <w:t>in addressing the forecast financial shortfall over the strategy period, further work is required to ensure the council can achieve a financially sustainable position.</w:t>
      </w:r>
    </w:p>
    <w:p w14:paraId="7D64D32F" w14:textId="77777777" w:rsidR="00C968C2" w:rsidRPr="00DE45C1" w:rsidRDefault="00C968C2" w:rsidP="00C968C2">
      <w:pPr>
        <w:autoSpaceDE w:val="0"/>
        <w:autoSpaceDN w:val="0"/>
        <w:adjustRightInd w:val="0"/>
        <w:spacing w:after="0"/>
        <w:jc w:val="both"/>
        <w:rPr>
          <w:rFonts w:cs="Arial"/>
          <w:szCs w:val="24"/>
          <w:highlight w:val="yellow"/>
        </w:rPr>
      </w:pPr>
    </w:p>
    <w:p w14:paraId="032E85BE" w14:textId="2A72C3DE" w:rsidR="00C968C2" w:rsidRPr="00DE45C1" w:rsidRDefault="00C968C2" w:rsidP="00C968C2">
      <w:pPr>
        <w:autoSpaceDE w:val="0"/>
        <w:autoSpaceDN w:val="0"/>
        <w:adjustRightInd w:val="0"/>
        <w:spacing w:after="0"/>
        <w:jc w:val="both"/>
        <w:rPr>
          <w:rFonts w:cs="Arial"/>
          <w:szCs w:val="24"/>
          <w:highlight w:val="yellow"/>
        </w:rPr>
      </w:pPr>
      <w:r w:rsidRPr="00015A22">
        <w:rPr>
          <w:rFonts w:cs="Arial"/>
          <w:szCs w:val="24"/>
        </w:rPr>
        <w:t>In reports th</w:t>
      </w:r>
      <w:r w:rsidR="00605C00">
        <w:rPr>
          <w:rFonts w:cs="Arial"/>
          <w:szCs w:val="24"/>
        </w:rPr>
        <w:t>roughout the financial year to cabinet, it is clear that the c</w:t>
      </w:r>
      <w:r w:rsidRPr="00015A22">
        <w:rPr>
          <w:rFonts w:cs="Arial"/>
          <w:szCs w:val="24"/>
        </w:rPr>
        <w:t>ouncil is committed to the delivery of a significant savin</w:t>
      </w:r>
      <w:r w:rsidR="00015A22" w:rsidRPr="00015A22">
        <w:rPr>
          <w:rFonts w:cs="Arial"/>
          <w:szCs w:val="24"/>
        </w:rPr>
        <w:t>gs programme (c£</w:t>
      </w:r>
      <w:r w:rsidR="00767C1F">
        <w:rPr>
          <w:rFonts w:cs="Arial"/>
          <w:szCs w:val="24"/>
        </w:rPr>
        <w:t>120</w:t>
      </w:r>
      <w:r w:rsidRPr="00015A22">
        <w:rPr>
          <w:rFonts w:cs="Arial"/>
          <w:szCs w:val="24"/>
        </w:rPr>
        <w:t>m over the period 201</w:t>
      </w:r>
      <w:r w:rsidR="00015A22" w:rsidRPr="00015A22">
        <w:rPr>
          <w:rFonts w:cs="Arial"/>
          <w:szCs w:val="24"/>
        </w:rPr>
        <w:t>9/20 to 2022</w:t>
      </w:r>
      <w:r w:rsidR="00767C1F">
        <w:rPr>
          <w:rFonts w:cs="Arial"/>
          <w:szCs w:val="24"/>
        </w:rPr>
        <w:t>/23</w:t>
      </w:r>
      <w:r w:rsidR="00015A22" w:rsidRPr="00015A22">
        <w:rPr>
          <w:rFonts w:cs="Arial"/>
          <w:szCs w:val="24"/>
        </w:rPr>
        <w:t>) including £77</w:t>
      </w:r>
      <w:r w:rsidRPr="00015A22">
        <w:rPr>
          <w:rFonts w:cs="Arial"/>
          <w:szCs w:val="24"/>
        </w:rPr>
        <w:t xml:space="preserve">m of new savings </w:t>
      </w:r>
      <w:r w:rsidR="00664E6A" w:rsidRPr="00015A22">
        <w:rPr>
          <w:rFonts w:cs="Arial"/>
          <w:szCs w:val="24"/>
        </w:rPr>
        <w:t xml:space="preserve">proposals </w:t>
      </w:r>
      <w:r w:rsidR="00605C00">
        <w:rPr>
          <w:rFonts w:cs="Arial"/>
          <w:szCs w:val="24"/>
        </w:rPr>
        <w:t>agreed by c</w:t>
      </w:r>
      <w:r w:rsidR="00015A22" w:rsidRPr="00015A22">
        <w:rPr>
          <w:rFonts w:cs="Arial"/>
          <w:szCs w:val="24"/>
        </w:rPr>
        <w:t>abinet during 2018/19</w:t>
      </w:r>
      <w:r w:rsidRPr="00015A22">
        <w:rPr>
          <w:rFonts w:cs="Arial"/>
          <w:szCs w:val="24"/>
        </w:rPr>
        <w:t xml:space="preserve">. </w:t>
      </w:r>
      <w:r w:rsidR="00015A22" w:rsidRPr="00015A22">
        <w:rPr>
          <w:rFonts w:cs="Arial"/>
          <w:szCs w:val="24"/>
        </w:rPr>
        <w:t>There are inherent risks with saving plans of this scale and scope and any significant under-delivery of agreed savings will further increase the funding gap.  This has been identified as one of the highes</w:t>
      </w:r>
      <w:r w:rsidR="00605C00">
        <w:rPr>
          <w:rFonts w:cs="Arial"/>
          <w:szCs w:val="24"/>
        </w:rPr>
        <w:t>t level risks in the council's risk and opportunity r</w:t>
      </w:r>
      <w:r w:rsidR="00015A22" w:rsidRPr="00015A22">
        <w:rPr>
          <w:rFonts w:cs="Arial"/>
          <w:szCs w:val="24"/>
        </w:rPr>
        <w:t>egister and there are comprehensive arrangements in place to track delivery of financial savings and take corrective actions as required.</w:t>
      </w:r>
    </w:p>
    <w:p w14:paraId="6C0E38F0" w14:textId="77777777" w:rsidR="00242C0B" w:rsidRDefault="00242C0B" w:rsidP="00C968C2">
      <w:pPr>
        <w:autoSpaceDE w:val="0"/>
        <w:autoSpaceDN w:val="0"/>
        <w:adjustRightInd w:val="0"/>
        <w:spacing w:after="0"/>
        <w:jc w:val="both"/>
        <w:rPr>
          <w:rFonts w:cs="Arial"/>
          <w:szCs w:val="24"/>
          <w:lang w:eastAsia="en-GB"/>
        </w:rPr>
      </w:pPr>
    </w:p>
    <w:p w14:paraId="1416C172" w14:textId="77777777" w:rsidR="00113E6C" w:rsidRDefault="00113E6C" w:rsidP="00113E6C">
      <w:pPr>
        <w:spacing w:after="0"/>
        <w:jc w:val="both"/>
        <w:rPr>
          <w:rFonts w:cs="Arial"/>
          <w:szCs w:val="24"/>
          <w:lang w:eastAsia="en-GB"/>
        </w:rPr>
      </w:pPr>
      <w:r w:rsidRPr="001C7737">
        <w:rPr>
          <w:rFonts w:cs="Arial"/>
          <w:szCs w:val="24"/>
          <w:lang w:eastAsia="en-GB"/>
        </w:rPr>
        <w:t xml:space="preserve">A benchmarking exercise across all county councils (and other councils where appropriate) identified that there are some service areas where Lancashire is high cost. The service challenge process was targeted at understanding the reasons for this and designing the delivery of better services at lower (median county council) cost.  This process resulted in the identification of c£77m from 42 individual service challenge reviews. There remain a number of areas where further, more detailed analysis and investigation is required and phase two of the service challenge process will progress this work as well as look more strategically at some cross-cutting issues that could provide the potential for additional savings proposals to come forward to future cabinet meetings for consideration.  </w:t>
      </w:r>
    </w:p>
    <w:p w14:paraId="6D69EF85" w14:textId="77777777" w:rsidR="00113E6C" w:rsidRDefault="00113E6C" w:rsidP="00C968C2">
      <w:pPr>
        <w:autoSpaceDE w:val="0"/>
        <w:autoSpaceDN w:val="0"/>
        <w:adjustRightInd w:val="0"/>
        <w:spacing w:after="0"/>
        <w:jc w:val="both"/>
        <w:rPr>
          <w:rFonts w:cs="Arial"/>
          <w:szCs w:val="24"/>
          <w:lang w:eastAsia="en-GB"/>
        </w:rPr>
      </w:pPr>
    </w:p>
    <w:p w14:paraId="5323960A" w14:textId="400A9619" w:rsidR="00664E6A" w:rsidRPr="00DE45C1" w:rsidRDefault="00A6595B" w:rsidP="00C968C2">
      <w:pPr>
        <w:autoSpaceDE w:val="0"/>
        <w:autoSpaceDN w:val="0"/>
        <w:adjustRightInd w:val="0"/>
        <w:spacing w:after="0"/>
        <w:jc w:val="both"/>
        <w:rPr>
          <w:rFonts w:cs="Arial"/>
          <w:szCs w:val="24"/>
          <w:highlight w:val="yellow"/>
          <w:lang w:eastAsia="en-GB"/>
        </w:rPr>
      </w:pPr>
      <w:r w:rsidRPr="00242C0B">
        <w:rPr>
          <w:rFonts w:cs="Arial"/>
          <w:szCs w:val="24"/>
          <w:lang w:eastAsia="en-GB"/>
        </w:rPr>
        <w:t xml:space="preserve">Should any of these </w:t>
      </w:r>
      <w:r w:rsidR="00664E6A" w:rsidRPr="00242C0B">
        <w:rPr>
          <w:rFonts w:cs="Arial"/>
          <w:szCs w:val="24"/>
          <w:lang w:eastAsia="en-GB"/>
        </w:rPr>
        <w:t>savings proposals</w:t>
      </w:r>
      <w:r w:rsidRPr="00242C0B">
        <w:rPr>
          <w:rFonts w:cs="Arial"/>
          <w:szCs w:val="24"/>
          <w:lang w:eastAsia="en-GB"/>
        </w:rPr>
        <w:t xml:space="preserve"> ultimately not be </w:t>
      </w:r>
      <w:r w:rsidR="005C7493" w:rsidRPr="00242C0B">
        <w:rPr>
          <w:rFonts w:cs="Arial"/>
          <w:szCs w:val="24"/>
          <w:lang w:eastAsia="en-GB"/>
        </w:rPr>
        <w:t>achieved</w:t>
      </w:r>
      <w:r w:rsidR="00664E6A" w:rsidRPr="00242C0B">
        <w:rPr>
          <w:rFonts w:cs="Arial"/>
          <w:szCs w:val="24"/>
          <w:lang w:eastAsia="en-GB"/>
        </w:rPr>
        <w:t xml:space="preserve"> they will need to be replaced with alternative savings to avoid increasing the size of the </w:t>
      </w:r>
      <w:r w:rsidR="00407446">
        <w:rPr>
          <w:rFonts w:cs="Arial"/>
          <w:szCs w:val="24"/>
          <w:lang w:eastAsia="en-GB"/>
        </w:rPr>
        <w:t xml:space="preserve">funding </w:t>
      </w:r>
      <w:r w:rsidR="00664E6A" w:rsidRPr="00242C0B">
        <w:rPr>
          <w:rFonts w:cs="Arial"/>
          <w:szCs w:val="24"/>
          <w:lang w:eastAsia="en-GB"/>
        </w:rPr>
        <w:t xml:space="preserve">gap.  </w:t>
      </w:r>
      <w:r w:rsidR="00144C3A">
        <w:rPr>
          <w:rFonts w:cs="Arial"/>
          <w:szCs w:val="24"/>
          <w:lang w:eastAsia="en-GB"/>
        </w:rPr>
        <w:t>£7.529</w:t>
      </w:r>
      <w:r w:rsidR="00242C0B" w:rsidRPr="00242C0B">
        <w:rPr>
          <w:rFonts w:cs="Arial"/>
          <w:szCs w:val="24"/>
          <w:lang w:eastAsia="en-GB"/>
        </w:rPr>
        <w:t>m of the savings proposals are subject to the outcome of specific consultations that are needing to be undertaken.  Following the cabinet decision</w:t>
      </w:r>
      <w:r w:rsidR="00242C0B">
        <w:rPr>
          <w:rFonts w:cs="Arial"/>
          <w:szCs w:val="24"/>
          <w:lang w:eastAsia="en-GB"/>
        </w:rPr>
        <w:t xml:space="preserve"> in December</w:t>
      </w:r>
      <w:r w:rsidR="00242C0B" w:rsidRPr="00242C0B">
        <w:rPr>
          <w:rFonts w:cs="Arial"/>
          <w:szCs w:val="24"/>
          <w:lang w:eastAsia="en-GB"/>
        </w:rPr>
        <w:t xml:space="preserve"> detailed project planning has been completed by services with regard to those consultations, including when the outcome of them will be reported back to cabinet to make a final decision </w:t>
      </w:r>
      <w:r w:rsidR="00407446">
        <w:rPr>
          <w:rFonts w:cs="Arial"/>
          <w:szCs w:val="24"/>
          <w:lang w:eastAsia="en-GB"/>
        </w:rPr>
        <w:t>regarding</w:t>
      </w:r>
      <w:r w:rsidR="00242C0B" w:rsidRPr="00242C0B">
        <w:rPr>
          <w:rFonts w:cs="Arial"/>
          <w:szCs w:val="24"/>
          <w:lang w:eastAsia="en-GB"/>
        </w:rPr>
        <w:t xml:space="preserve"> their implementation.  </w:t>
      </w:r>
    </w:p>
    <w:p w14:paraId="0B140246" w14:textId="77777777" w:rsidR="00664E6A" w:rsidRDefault="00664E6A" w:rsidP="00C968C2">
      <w:pPr>
        <w:autoSpaceDE w:val="0"/>
        <w:autoSpaceDN w:val="0"/>
        <w:adjustRightInd w:val="0"/>
        <w:spacing w:after="0"/>
        <w:jc w:val="both"/>
        <w:rPr>
          <w:rFonts w:cs="Arial"/>
          <w:szCs w:val="24"/>
          <w:lang w:eastAsia="en-GB"/>
        </w:rPr>
      </w:pPr>
    </w:p>
    <w:p w14:paraId="3C75D98D" w14:textId="6DB9EDF0" w:rsidR="00113E6C" w:rsidRDefault="00605C00" w:rsidP="00113E6C">
      <w:pPr>
        <w:spacing w:after="0"/>
        <w:jc w:val="both"/>
        <w:rPr>
          <w:rFonts w:cs="Arial"/>
          <w:szCs w:val="24"/>
        </w:rPr>
      </w:pPr>
      <w:r>
        <w:rPr>
          <w:rFonts w:cs="Arial"/>
          <w:szCs w:val="24"/>
        </w:rPr>
        <w:t>The medium term financial s</w:t>
      </w:r>
      <w:r w:rsidR="00113E6C" w:rsidRPr="00113E6C">
        <w:rPr>
          <w:rFonts w:cs="Arial"/>
          <w:szCs w:val="24"/>
        </w:rPr>
        <w:t xml:space="preserve">trategy </w:t>
      </w:r>
      <w:r>
        <w:rPr>
          <w:rFonts w:cs="Arial"/>
          <w:szCs w:val="24"/>
        </w:rPr>
        <w:t xml:space="preserve">(MTFS) </w:t>
      </w:r>
      <w:r w:rsidR="00113E6C" w:rsidRPr="00113E6C">
        <w:rPr>
          <w:rFonts w:cs="Arial"/>
          <w:szCs w:val="24"/>
        </w:rPr>
        <w:t xml:space="preserve">includes government funding as announced in the </w:t>
      </w:r>
      <w:r w:rsidR="00827F59">
        <w:rPr>
          <w:rFonts w:cs="Arial"/>
          <w:szCs w:val="24"/>
        </w:rPr>
        <w:t>final</w:t>
      </w:r>
      <w:r w:rsidR="00113E6C" w:rsidRPr="00113E6C">
        <w:rPr>
          <w:rFonts w:cs="Arial"/>
          <w:szCs w:val="24"/>
        </w:rPr>
        <w:t xml:space="preserve"> settlement on 29th January 2019, with no change to the additional funding announced as part of the provisional settlement in December 2018. </w:t>
      </w:r>
    </w:p>
    <w:p w14:paraId="1027BDEF" w14:textId="77777777" w:rsidR="00113E6C" w:rsidRDefault="00113E6C" w:rsidP="00113E6C">
      <w:pPr>
        <w:spacing w:after="0"/>
        <w:jc w:val="both"/>
        <w:rPr>
          <w:rFonts w:cs="Arial"/>
          <w:szCs w:val="24"/>
        </w:rPr>
      </w:pPr>
    </w:p>
    <w:p w14:paraId="5FAE26C8" w14:textId="188271C4" w:rsidR="00113E6C" w:rsidRPr="003D1BBF" w:rsidRDefault="00113E6C" w:rsidP="00113E6C">
      <w:pPr>
        <w:tabs>
          <w:tab w:val="left" w:pos="567"/>
          <w:tab w:val="left" w:pos="1134"/>
        </w:tabs>
        <w:spacing w:after="0"/>
        <w:jc w:val="both"/>
        <w:rPr>
          <w:rFonts w:cs="Arial"/>
        </w:rPr>
      </w:pPr>
      <w:r>
        <w:rPr>
          <w:rFonts w:cs="Arial"/>
        </w:rPr>
        <w:t>As part of the settlement the Chancellor announced several new 75% business rates pilot schemes, with Lancashire being successful in its bid. This means that in order to secure the additional growth from business rates authorities agree to forgo their revenue support grant. The</w:t>
      </w:r>
      <w:r w:rsidRPr="00DD1B77">
        <w:rPr>
          <w:rFonts w:cs="Arial"/>
        </w:rPr>
        <w:t xml:space="preserve"> bid contained</w:t>
      </w:r>
      <w:r>
        <w:rPr>
          <w:rFonts w:cs="Arial"/>
        </w:rPr>
        <w:t xml:space="preserve"> the</w:t>
      </w:r>
      <w:r w:rsidRPr="00DD1B77">
        <w:rPr>
          <w:rFonts w:cs="Arial"/>
        </w:rPr>
        <w:t xml:space="preserve"> county council, along with 11 district councils</w:t>
      </w:r>
      <w:r w:rsidR="005D7B41">
        <w:rPr>
          <w:rFonts w:cs="Arial"/>
        </w:rPr>
        <w:t>, Lancashire Fire and Rescue A</w:t>
      </w:r>
      <w:r>
        <w:rPr>
          <w:rFonts w:cs="Arial"/>
        </w:rPr>
        <w:t>uthority</w:t>
      </w:r>
      <w:r w:rsidRPr="00DD1B77">
        <w:rPr>
          <w:rFonts w:cs="Arial"/>
        </w:rPr>
        <w:t xml:space="preserve"> and the two unitary authorities of Blackburn </w:t>
      </w:r>
      <w:r w:rsidR="00827F59">
        <w:rPr>
          <w:rFonts w:cs="Arial"/>
        </w:rPr>
        <w:t xml:space="preserve">with Darwen </w:t>
      </w:r>
      <w:r w:rsidRPr="00DD1B77">
        <w:rPr>
          <w:rFonts w:cs="Arial"/>
        </w:rPr>
        <w:t xml:space="preserve">and Blackpool which could see potentially a one off extra </w:t>
      </w:r>
      <w:r>
        <w:rPr>
          <w:rFonts w:cs="Arial"/>
        </w:rPr>
        <w:t>c£10</w:t>
      </w:r>
      <w:r w:rsidRPr="00DD1B77">
        <w:rPr>
          <w:rFonts w:cs="Arial"/>
        </w:rPr>
        <w:t>m retained across Lancashire</w:t>
      </w:r>
      <w:r>
        <w:rPr>
          <w:rFonts w:cs="Arial"/>
        </w:rPr>
        <w:t xml:space="preserve"> based on current growth estimates</w:t>
      </w:r>
      <w:r w:rsidRPr="00DD1B77">
        <w:rPr>
          <w:rFonts w:cs="Arial"/>
        </w:rPr>
        <w:t xml:space="preserve">. </w:t>
      </w:r>
      <w:r>
        <w:rPr>
          <w:rFonts w:cs="Arial"/>
        </w:rPr>
        <w:t xml:space="preserve"> </w:t>
      </w:r>
    </w:p>
    <w:p w14:paraId="37129FE6" w14:textId="77777777" w:rsidR="00113E6C" w:rsidRPr="00113E6C" w:rsidRDefault="00113E6C" w:rsidP="00113E6C">
      <w:pPr>
        <w:spacing w:after="0"/>
        <w:jc w:val="both"/>
        <w:rPr>
          <w:rFonts w:cs="Arial"/>
          <w:szCs w:val="24"/>
        </w:rPr>
      </w:pPr>
    </w:p>
    <w:p w14:paraId="608CFAD7" w14:textId="011B0843" w:rsidR="00113E6C" w:rsidRDefault="00113E6C" w:rsidP="00113E6C">
      <w:pPr>
        <w:tabs>
          <w:tab w:val="left" w:pos="567"/>
          <w:tab w:val="left" w:pos="1134"/>
        </w:tabs>
        <w:spacing w:after="0"/>
        <w:jc w:val="both"/>
        <w:rPr>
          <w:rFonts w:cs="Arial"/>
        </w:rPr>
      </w:pPr>
      <w:r w:rsidRPr="00113E6C">
        <w:rPr>
          <w:rFonts w:cs="Arial"/>
        </w:rPr>
        <w:t>It is currently anticipated that a new system of local government finance, the "fair funding formula", will be in place in 2020/21 which involves local government retaining 75% of the business rates and a review of the funding formula. However, details of the scheme and the impact on Lancashire are not known at this time</w:t>
      </w:r>
      <w:r w:rsidR="00F653CB">
        <w:rPr>
          <w:rFonts w:cs="Arial"/>
        </w:rPr>
        <w:t>.</w:t>
      </w:r>
      <w:r w:rsidRPr="00113E6C">
        <w:rPr>
          <w:rFonts w:cs="Arial"/>
        </w:rPr>
        <w:t xml:space="preserve"> </w:t>
      </w:r>
      <w:r w:rsidR="00F653CB">
        <w:rPr>
          <w:rFonts w:cs="Arial"/>
        </w:rPr>
        <w:t xml:space="preserve">Additional consultations have been published with the provisional settlement in December 2018 with content currently being reviewed and </w:t>
      </w:r>
      <w:r w:rsidR="00515C87">
        <w:rPr>
          <w:rFonts w:cs="Arial"/>
        </w:rPr>
        <w:t>responses being prepared</w:t>
      </w:r>
      <w:r w:rsidRPr="00113E6C">
        <w:rPr>
          <w:rFonts w:cs="Arial"/>
        </w:rPr>
        <w:t xml:space="preserve">. Without any insight into the outcomes of this work, the MTFS assumes that the funding proposals </w:t>
      </w:r>
      <w:r w:rsidR="00407446">
        <w:rPr>
          <w:rFonts w:cs="Arial"/>
        </w:rPr>
        <w:t xml:space="preserve">in future years </w:t>
      </w:r>
      <w:r w:rsidRPr="00113E6C">
        <w:rPr>
          <w:rFonts w:cs="Arial"/>
        </w:rPr>
        <w:t>will match the current business rates and grants</w:t>
      </w:r>
      <w:r w:rsidR="00407446">
        <w:rPr>
          <w:rFonts w:cs="Arial"/>
        </w:rPr>
        <w:t xml:space="preserve"> structure</w:t>
      </w:r>
      <w:r w:rsidRPr="00113E6C">
        <w:rPr>
          <w:rFonts w:cs="Arial"/>
        </w:rPr>
        <w:t>, with the exception that the revenue support grant will cease from 2020/21, in line with previous government announcements.</w:t>
      </w:r>
    </w:p>
    <w:p w14:paraId="6C85E8A0" w14:textId="77777777" w:rsidR="006067B9" w:rsidRDefault="006067B9" w:rsidP="00C968C2">
      <w:pPr>
        <w:autoSpaceDE w:val="0"/>
        <w:autoSpaceDN w:val="0"/>
        <w:adjustRightInd w:val="0"/>
        <w:spacing w:after="0"/>
        <w:jc w:val="both"/>
        <w:rPr>
          <w:rFonts w:cs="Arial"/>
          <w:szCs w:val="24"/>
          <w:lang w:eastAsia="en-GB"/>
        </w:rPr>
      </w:pPr>
    </w:p>
    <w:p w14:paraId="1AE7A6AE" w14:textId="5B49C4FC" w:rsidR="006067B9" w:rsidRPr="00DE45C1" w:rsidRDefault="00464763" w:rsidP="006067B9">
      <w:pPr>
        <w:spacing w:after="0"/>
        <w:jc w:val="both"/>
        <w:rPr>
          <w:rFonts w:cs="Arial"/>
          <w:highlight w:val="yellow"/>
        </w:rPr>
      </w:pPr>
      <w:r>
        <w:rPr>
          <w:rFonts w:cs="Arial"/>
        </w:rPr>
        <w:t>The MTFS reported to c</w:t>
      </w:r>
      <w:r w:rsidR="006067B9" w:rsidRPr="00DE45C1">
        <w:rPr>
          <w:rFonts w:cs="Arial"/>
        </w:rPr>
        <w:t xml:space="preserve">abinet </w:t>
      </w:r>
      <w:r w:rsidR="005D7B41">
        <w:rPr>
          <w:rFonts w:cs="Arial"/>
        </w:rPr>
        <w:t>in February 2019 included a 1% adult social care p</w:t>
      </w:r>
      <w:r w:rsidR="006067B9" w:rsidRPr="00DE45C1">
        <w:rPr>
          <w:rFonts w:cs="Arial"/>
        </w:rPr>
        <w:t xml:space="preserve">recept in 2019/20 as a result of flexibilities offered by Government.  </w:t>
      </w:r>
      <w:r w:rsidR="00515C87">
        <w:rPr>
          <w:rFonts w:cs="Arial"/>
        </w:rPr>
        <w:t>The final settlement confirmed that the council has scope to increase council tax by a further 1% in 2019/20 on the grounds that it keeps pace with inflation.</w:t>
      </w:r>
      <w:r w:rsidR="006067B9" w:rsidRPr="00DE45C1">
        <w:rPr>
          <w:rFonts w:cs="Arial"/>
        </w:rPr>
        <w:t xml:space="preserve"> This flexibility is not currently being offered in subsequent years. </w:t>
      </w:r>
    </w:p>
    <w:p w14:paraId="43F2294B" w14:textId="77777777" w:rsidR="006067B9" w:rsidRPr="00DE45C1" w:rsidRDefault="006067B9" w:rsidP="006067B9">
      <w:pPr>
        <w:spacing w:after="0"/>
        <w:jc w:val="both"/>
        <w:rPr>
          <w:rFonts w:cs="Arial"/>
          <w:highlight w:val="yellow"/>
        </w:rPr>
      </w:pPr>
    </w:p>
    <w:p w14:paraId="3C26F20C" w14:textId="215288FF" w:rsidR="006067B9" w:rsidRPr="001C7053" w:rsidRDefault="006067B9" w:rsidP="006067B9">
      <w:pPr>
        <w:spacing w:after="0"/>
        <w:jc w:val="both"/>
        <w:rPr>
          <w:rFonts w:cs="Arial"/>
        </w:rPr>
      </w:pPr>
      <w:r w:rsidRPr="001C7053">
        <w:rPr>
          <w:rFonts w:cs="Arial"/>
        </w:rPr>
        <w:t xml:space="preserve">From 2020/21 onwards, it is therefore assumed that the maximum increase will revert back to 1.99%, as the option to raise an </w:t>
      </w:r>
      <w:r w:rsidR="00515C87">
        <w:rPr>
          <w:rFonts w:cs="Arial"/>
        </w:rPr>
        <w:t>adult social c</w:t>
      </w:r>
      <w:r w:rsidRPr="001C7053">
        <w:rPr>
          <w:rFonts w:cs="Arial"/>
        </w:rPr>
        <w:t>are precept will no</w:t>
      </w:r>
      <w:r w:rsidR="00515C87">
        <w:rPr>
          <w:rFonts w:cs="Arial"/>
        </w:rPr>
        <w:t xml:space="preserve"> longer be available.  Council tax increases are subject to a full c</w:t>
      </w:r>
      <w:r w:rsidRPr="001C7053">
        <w:rPr>
          <w:rFonts w:cs="Arial"/>
        </w:rPr>
        <w:t>ouncil decision each year when setting the budget, but any decisions taken not to increase council tax as per the assumptions above would increase the financial gap.</w:t>
      </w:r>
    </w:p>
    <w:p w14:paraId="683A2D45" w14:textId="77777777" w:rsidR="006067B9" w:rsidRDefault="006067B9" w:rsidP="00C968C2">
      <w:pPr>
        <w:autoSpaceDE w:val="0"/>
        <w:autoSpaceDN w:val="0"/>
        <w:adjustRightInd w:val="0"/>
        <w:spacing w:after="0"/>
        <w:jc w:val="both"/>
        <w:rPr>
          <w:rFonts w:cs="Arial"/>
          <w:szCs w:val="24"/>
          <w:lang w:eastAsia="en-GB"/>
        </w:rPr>
      </w:pPr>
    </w:p>
    <w:p w14:paraId="295F2DC9" w14:textId="1F951DF8" w:rsidR="00113E6C" w:rsidRDefault="00113E6C" w:rsidP="00113E6C">
      <w:pPr>
        <w:autoSpaceDE w:val="0"/>
        <w:autoSpaceDN w:val="0"/>
        <w:adjustRightInd w:val="0"/>
        <w:spacing w:after="0"/>
        <w:jc w:val="both"/>
        <w:rPr>
          <w:rFonts w:cs="Arial"/>
          <w:szCs w:val="24"/>
          <w:lang w:eastAsia="en-GB"/>
        </w:rPr>
      </w:pPr>
      <w:r w:rsidRPr="00242C0B">
        <w:rPr>
          <w:rFonts w:cs="Arial"/>
          <w:szCs w:val="24"/>
        </w:rPr>
        <w:t>Taking account of updated resources information a funding gap of £</w:t>
      </w:r>
      <w:r w:rsidR="00785D24">
        <w:rPr>
          <w:rFonts w:cs="Arial"/>
          <w:szCs w:val="24"/>
        </w:rPr>
        <w:t>10.245</w:t>
      </w:r>
      <w:r w:rsidRPr="00242C0B">
        <w:rPr>
          <w:rFonts w:cs="Arial"/>
          <w:szCs w:val="24"/>
        </w:rPr>
        <w:t>m remains</w:t>
      </w:r>
      <w:r>
        <w:rPr>
          <w:rFonts w:cs="Arial"/>
          <w:szCs w:val="24"/>
        </w:rPr>
        <w:t xml:space="preserve"> </w:t>
      </w:r>
      <w:r w:rsidRPr="00242C0B">
        <w:rPr>
          <w:rFonts w:cs="Arial"/>
          <w:szCs w:val="24"/>
        </w:rPr>
        <w:t>in 2019/20 and, in order to set a bala</w:t>
      </w:r>
      <w:r w:rsidR="00785D24">
        <w:rPr>
          <w:rFonts w:cs="Arial"/>
          <w:szCs w:val="24"/>
        </w:rPr>
        <w:t>nced budget, reserves of £10.245</w:t>
      </w:r>
      <w:r w:rsidRPr="00242C0B">
        <w:rPr>
          <w:rFonts w:cs="Arial"/>
          <w:szCs w:val="24"/>
        </w:rPr>
        <w:t xml:space="preserve">m are therefore required to fund the gap. </w:t>
      </w:r>
      <w:r w:rsidRPr="00242C0B">
        <w:rPr>
          <w:rFonts w:cs="Arial"/>
          <w:szCs w:val="24"/>
          <w:lang w:eastAsia="en-GB"/>
        </w:rPr>
        <w:t xml:space="preserve">However, this is clearly dependent on all service challenge savings agreed </w:t>
      </w:r>
      <w:r w:rsidR="005D7B41">
        <w:rPr>
          <w:rFonts w:cs="Arial"/>
          <w:szCs w:val="24"/>
          <w:lang w:eastAsia="en-GB"/>
        </w:rPr>
        <w:t>and</w:t>
      </w:r>
      <w:r w:rsidRPr="00242C0B">
        <w:rPr>
          <w:rFonts w:cs="Arial"/>
          <w:szCs w:val="24"/>
          <w:lang w:eastAsia="en-GB"/>
        </w:rPr>
        <w:t xml:space="preserve"> delivered fully within the timeframes identified, along with the other savings agreed in previous budget cycles.  </w:t>
      </w:r>
    </w:p>
    <w:p w14:paraId="3ECF14D6" w14:textId="77777777" w:rsidR="00113E6C" w:rsidRPr="00242C0B" w:rsidRDefault="00113E6C" w:rsidP="00C968C2">
      <w:pPr>
        <w:autoSpaceDE w:val="0"/>
        <w:autoSpaceDN w:val="0"/>
        <w:adjustRightInd w:val="0"/>
        <w:spacing w:after="0"/>
        <w:jc w:val="both"/>
        <w:rPr>
          <w:rFonts w:cs="Arial"/>
          <w:szCs w:val="24"/>
          <w:lang w:eastAsia="en-GB"/>
        </w:rPr>
      </w:pPr>
    </w:p>
    <w:p w14:paraId="1A42B5DA" w14:textId="42A079B4" w:rsidR="00A6595B" w:rsidRPr="00242C0B" w:rsidRDefault="00A6595B" w:rsidP="00C67D49">
      <w:pPr>
        <w:autoSpaceDE w:val="0"/>
        <w:autoSpaceDN w:val="0"/>
        <w:adjustRightInd w:val="0"/>
        <w:spacing w:after="0"/>
        <w:jc w:val="both"/>
        <w:rPr>
          <w:rFonts w:cs="Arial"/>
          <w:szCs w:val="24"/>
          <w:lang w:eastAsia="en-GB"/>
        </w:rPr>
      </w:pPr>
      <w:r w:rsidRPr="00242C0B">
        <w:rPr>
          <w:rFonts w:cs="Arial"/>
          <w:szCs w:val="24"/>
          <w:lang w:eastAsia="en-GB"/>
        </w:rPr>
        <w:t>There also remains a</w:t>
      </w:r>
      <w:r w:rsidR="00242C0B" w:rsidRPr="00242C0B">
        <w:rPr>
          <w:rFonts w:cs="Arial"/>
          <w:szCs w:val="24"/>
          <w:lang w:eastAsia="en-GB"/>
        </w:rPr>
        <w:t>n</w:t>
      </w:r>
      <w:r w:rsidRPr="00242C0B">
        <w:rPr>
          <w:rFonts w:cs="Arial"/>
          <w:szCs w:val="24"/>
          <w:lang w:eastAsia="en-GB"/>
        </w:rPr>
        <w:t xml:space="preserve"> </w:t>
      </w:r>
      <w:r w:rsidR="00242C0B" w:rsidRPr="00242C0B">
        <w:rPr>
          <w:rFonts w:cs="Arial"/>
          <w:szCs w:val="24"/>
          <w:lang w:eastAsia="en-GB"/>
        </w:rPr>
        <w:t xml:space="preserve">overall </w:t>
      </w:r>
      <w:r w:rsidRPr="00242C0B">
        <w:rPr>
          <w:rFonts w:cs="Arial"/>
          <w:szCs w:val="24"/>
          <w:lang w:eastAsia="en-GB"/>
        </w:rPr>
        <w:t>funding gap of £</w:t>
      </w:r>
      <w:r w:rsidR="00464763">
        <w:rPr>
          <w:rFonts w:cs="Arial"/>
          <w:szCs w:val="24"/>
          <w:lang w:eastAsia="en-GB"/>
        </w:rPr>
        <w:t>47.326</w:t>
      </w:r>
      <w:r w:rsidRPr="00242C0B">
        <w:rPr>
          <w:rFonts w:cs="Arial"/>
          <w:szCs w:val="24"/>
          <w:lang w:eastAsia="en-GB"/>
        </w:rPr>
        <w:t xml:space="preserve">m </w:t>
      </w:r>
      <w:r w:rsidR="00242C0B" w:rsidRPr="00242C0B">
        <w:rPr>
          <w:rFonts w:cs="Arial"/>
          <w:szCs w:val="24"/>
          <w:lang w:eastAsia="en-GB"/>
        </w:rPr>
        <w:t>by</w:t>
      </w:r>
      <w:r w:rsidRPr="00242C0B">
        <w:rPr>
          <w:rFonts w:cs="Arial"/>
          <w:szCs w:val="24"/>
          <w:lang w:eastAsia="en-GB"/>
        </w:rPr>
        <w:t xml:space="preserve"> 20</w:t>
      </w:r>
      <w:r w:rsidR="00242C0B" w:rsidRPr="00242C0B">
        <w:rPr>
          <w:rFonts w:cs="Arial"/>
          <w:szCs w:val="24"/>
          <w:lang w:eastAsia="en-GB"/>
        </w:rPr>
        <w:t>22/23</w:t>
      </w:r>
      <w:r w:rsidR="00C968C2" w:rsidRPr="00242C0B">
        <w:rPr>
          <w:rFonts w:cs="Arial"/>
          <w:szCs w:val="24"/>
          <w:lang w:eastAsia="en-GB"/>
        </w:rPr>
        <w:t xml:space="preserve">. Current forecasts indicate that that there </w:t>
      </w:r>
      <w:r w:rsidR="00664E6A" w:rsidRPr="00242C0B">
        <w:rPr>
          <w:rFonts w:cs="Arial"/>
          <w:szCs w:val="24"/>
          <w:lang w:eastAsia="en-GB"/>
        </w:rPr>
        <w:t>may be</w:t>
      </w:r>
      <w:r w:rsidR="00357159" w:rsidRPr="00242C0B">
        <w:rPr>
          <w:rFonts w:cs="Arial"/>
          <w:szCs w:val="24"/>
          <w:lang w:eastAsia="en-GB"/>
        </w:rPr>
        <w:t xml:space="preserve"> </w:t>
      </w:r>
      <w:r w:rsidR="00C968C2" w:rsidRPr="00242C0B">
        <w:rPr>
          <w:rFonts w:cs="Arial"/>
          <w:szCs w:val="24"/>
          <w:lang w:eastAsia="en-GB"/>
        </w:rPr>
        <w:t xml:space="preserve">sufficient funds within the transitional reserve to support the </w:t>
      </w:r>
      <w:r w:rsidR="00664E6A" w:rsidRPr="00242C0B">
        <w:rPr>
          <w:rFonts w:cs="Arial"/>
          <w:szCs w:val="24"/>
          <w:lang w:eastAsia="en-GB"/>
        </w:rPr>
        <w:t xml:space="preserve">identified </w:t>
      </w:r>
      <w:r w:rsidR="00C968C2" w:rsidRPr="00242C0B">
        <w:rPr>
          <w:rFonts w:cs="Arial"/>
          <w:szCs w:val="24"/>
          <w:lang w:eastAsia="en-GB"/>
        </w:rPr>
        <w:t xml:space="preserve">budget gap </w:t>
      </w:r>
      <w:r w:rsidR="00242C0B" w:rsidRPr="00242C0B">
        <w:rPr>
          <w:rFonts w:cs="Arial"/>
          <w:szCs w:val="24"/>
          <w:lang w:eastAsia="en-GB"/>
        </w:rPr>
        <w:t>through to 2022/23</w:t>
      </w:r>
      <w:r w:rsidR="00C968C2" w:rsidRPr="00242C0B">
        <w:rPr>
          <w:rFonts w:cs="Arial"/>
          <w:szCs w:val="24"/>
          <w:lang w:eastAsia="en-GB"/>
        </w:rPr>
        <w:t xml:space="preserve">. </w:t>
      </w:r>
      <w:r w:rsidR="00242C0B" w:rsidRPr="00242C0B">
        <w:rPr>
          <w:rFonts w:cs="Arial"/>
          <w:szCs w:val="24"/>
          <w:lang w:eastAsia="en-GB"/>
        </w:rPr>
        <w:t xml:space="preserve">However the intention is to identify further savings and thereby reduce the call on the transitional reserve, for 2020/21 and beyond.  </w:t>
      </w:r>
    </w:p>
    <w:p w14:paraId="3BB08AB6" w14:textId="77777777" w:rsidR="005347EA" w:rsidRPr="00DE45C1" w:rsidRDefault="005347EA" w:rsidP="004321DB">
      <w:pPr>
        <w:spacing w:after="0"/>
        <w:jc w:val="both"/>
        <w:rPr>
          <w:rFonts w:cs="Arial"/>
          <w:szCs w:val="24"/>
          <w:highlight w:val="yellow"/>
        </w:rPr>
      </w:pPr>
    </w:p>
    <w:p w14:paraId="7EC64819" w14:textId="3008D0C6" w:rsidR="003808D3" w:rsidRPr="00DE45C1" w:rsidRDefault="003808D3" w:rsidP="004321DB">
      <w:pPr>
        <w:spacing w:after="0"/>
        <w:jc w:val="both"/>
        <w:rPr>
          <w:rFonts w:cs="Arial"/>
          <w:szCs w:val="24"/>
        </w:rPr>
      </w:pPr>
      <w:r w:rsidRPr="00DE45C1">
        <w:rPr>
          <w:rFonts w:cs="Arial"/>
          <w:szCs w:val="24"/>
        </w:rPr>
        <w:lastRenderedPageBreak/>
        <w:t>This report presents for consideration by the</w:t>
      </w:r>
      <w:r w:rsidR="00605C00">
        <w:rPr>
          <w:rFonts w:cs="Arial"/>
          <w:szCs w:val="24"/>
        </w:rPr>
        <w:t xml:space="preserve"> f</w:t>
      </w:r>
      <w:r w:rsidR="00224963" w:rsidRPr="00DE45C1">
        <w:rPr>
          <w:rFonts w:cs="Arial"/>
          <w:szCs w:val="24"/>
        </w:rPr>
        <w:t>ull</w:t>
      </w:r>
      <w:r w:rsidR="00605C00">
        <w:rPr>
          <w:rFonts w:cs="Arial"/>
          <w:szCs w:val="24"/>
        </w:rPr>
        <w:t xml:space="preserve"> c</w:t>
      </w:r>
      <w:r w:rsidRPr="00DE45C1">
        <w:rPr>
          <w:rFonts w:cs="Arial"/>
          <w:szCs w:val="24"/>
        </w:rPr>
        <w:t xml:space="preserve">ouncil the </w:t>
      </w:r>
      <w:r w:rsidR="009A7115" w:rsidRPr="00DE45C1">
        <w:rPr>
          <w:rFonts w:cs="Arial"/>
          <w:szCs w:val="24"/>
        </w:rPr>
        <w:t xml:space="preserve">recommendations </w:t>
      </w:r>
      <w:r w:rsidR="00605C00">
        <w:rPr>
          <w:rFonts w:cs="Arial"/>
          <w:szCs w:val="24"/>
        </w:rPr>
        <w:t>of the c</w:t>
      </w:r>
      <w:r w:rsidRPr="00DE45C1">
        <w:rPr>
          <w:rFonts w:cs="Arial"/>
          <w:szCs w:val="24"/>
        </w:rPr>
        <w:t>abinet for:</w:t>
      </w:r>
    </w:p>
    <w:p w14:paraId="17C8DB13" w14:textId="77777777" w:rsidR="00351D95" w:rsidRPr="00DE45C1" w:rsidRDefault="00351D95" w:rsidP="004321DB">
      <w:pPr>
        <w:spacing w:after="0"/>
        <w:jc w:val="both"/>
        <w:rPr>
          <w:rFonts w:cs="Arial"/>
          <w:szCs w:val="24"/>
          <w:highlight w:val="yellow"/>
        </w:rPr>
      </w:pPr>
    </w:p>
    <w:p w14:paraId="0F892246" w14:textId="0353ED88" w:rsidR="003808D3" w:rsidRPr="00DE45C1" w:rsidRDefault="003808D3" w:rsidP="00AA35F3">
      <w:pPr>
        <w:pStyle w:val="ListParagraph"/>
        <w:numPr>
          <w:ilvl w:val="0"/>
          <w:numId w:val="5"/>
        </w:numPr>
        <w:spacing w:after="0"/>
        <w:jc w:val="both"/>
        <w:rPr>
          <w:rFonts w:cs="Arial"/>
          <w:szCs w:val="24"/>
        </w:rPr>
      </w:pPr>
      <w:r w:rsidRPr="00DE45C1">
        <w:rPr>
          <w:rFonts w:cs="Arial"/>
          <w:szCs w:val="24"/>
        </w:rPr>
        <w:t>The revenue budget for</w:t>
      </w:r>
      <w:r w:rsidR="009112E3" w:rsidRPr="00DE45C1">
        <w:rPr>
          <w:rFonts w:cs="Arial"/>
          <w:szCs w:val="24"/>
        </w:rPr>
        <w:t xml:space="preserve"> </w:t>
      </w:r>
      <w:r w:rsidR="00DE45C1" w:rsidRPr="00DE45C1">
        <w:rPr>
          <w:rFonts w:cs="Arial"/>
          <w:szCs w:val="24"/>
        </w:rPr>
        <w:t>2019/20</w:t>
      </w:r>
      <w:r w:rsidRPr="00DE45C1">
        <w:rPr>
          <w:rFonts w:cs="Arial"/>
          <w:szCs w:val="24"/>
        </w:rPr>
        <w:t>;</w:t>
      </w:r>
    </w:p>
    <w:p w14:paraId="1AF49E04" w14:textId="045CD046" w:rsidR="003B5C24" w:rsidRPr="00DE45C1" w:rsidRDefault="00515C87" w:rsidP="00AA35F3">
      <w:pPr>
        <w:pStyle w:val="ListParagraph"/>
        <w:numPr>
          <w:ilvl w:val="0"/>
          <w:numId w:val="5"/>
        </w:numPr>
        <w:spacing w:after="0"/>
        <w:jc w:val="both"/>
        <w:rPr>
          <w:rFonts w:cs="Arial"/>
          <w:szCs w:val="24"/>
        </w:rPr>
      </w:pPr>
      <w:r>
        <w:rPr>
          <w:rFonts w:cs="Arial"/>
          <w:szCs w:val="24"/>
        </w:rPr>
        <w:t>A revised capital delivery</w:t>
      </w:r>
      <w:r w:rsidR="003B5C24" w:rsidRPr="00DE45C1">
        <w:rPr>
          <w:rFonts w:cs="Arial"/>
          <w:szCs w:val="24"/>
        </w:rPr>
        <w:t xml:space="preserve"> programme for </w:t>
      </w:r>
      <w:r w:rsidR="00DE45C1" w:rsidRPr="00DE45C1">
        <w:rPr>
          <w:rFonts w:cs="Arial"/>
          <w:szCs w:val="24"/>
        </w:rPr>
        <w:t>2019/20</w:t>
      </w:r>
      <w:r w:rsidR="00300D9C" w:rsidRPr="00DE45C1">
        <w:rPr>
          <w:rFonts w:cs="Arial"/>
          <w:szCs w:val="24"/>
        </w:rPr>
        <w:t>;</w:t>
      </w:r>
    </w:p>
    <w:p w14:paraId="355EB6FA" w14:textId="0A10D1BE" w:rsidR="003808D3" w:rsidRPr="00DE45C1" w:rsidRDefault="00464763" w:rsidP="00AA35F3">
      <w:pPr>
        <w:pStyle w:val="ListParagraph"/>
        <w:numPr>
          <w:ilvl w:val="0"/>
          <w:numId w:val="5"/>
        </w:numPr>
        <w:spacing w:after="0"/>
        <w:jc w:val="both"/>
        <w:rPr>
          <w:rFonts w:cs="Arial"/>
          <w:szCs w:val="24"/>
        </w:rPr>
      </w:pPr>
      <w:r>
        <w:rPr>
          <w:rFonts w:cs="Arial"/>
          <w:szCs w:val="24"/>
        </w:rPr>
        <w:t>The council t</w:t>
      </w:r>
      <w:r w:rsidR="00AD0EAD" w:rsidRPr="00DE45C1">
        <w:rPr>
          <w:rFonts w:cs="Arial"/>
          <w:szCs w:val="24"/>
        </w:rPr>
        <w:t xml:space="preserve">ax </w:t>
      </w:r>
      <w:r w:rsidR="00C933C0" w:rsidRPr="00DE45C1">
        <w:rPr>
          <w:rFonts w:cs="Arial"/>
          <w:szCs w:val="24"/>
        </w:rPr>
        <w:t xml:space="preserve">and precept </w:t>
      </w:r>
      <w:r w:rsidR="00AD0EAD" w:rsidRPr="00DE45C1">
        <w:rPr>
          <w:rFonts w:cs="Arial"/>
          <w:szCs w:val="24"/>
        </w:rPr>
        <w:t xml:space="preserve">for </w:t>
      </w:r>
      <w:r w:rsidR="00DE45C1" w:rsidRPr="00DE45C1">
        <w:rPr>
          <w:rFonts w:cs="Arial"/>
          <w:szCs w:val="24"/>
        </w:rPr>
        <w:t>2019/20</w:t>
      </w:r>
      <w:r w:rsidR="005A65D5" w:rsidRPr="00DE45C1">
        <w:rPr>
          <w:rFonts w:cs="Arial"/>
          <w:szCs w:val="24"/>
        </w:rPr>
        <w:t>.</w:t>
      </w:r>
    </w:p>
    <w:p w14:paraId="0D9E5F27" w14:textId="77777777" w:rsidR="005A65D5" w:rsidRPr="00DE45C1" w:rsidRDefault="005A65D5" w:rsidP="004321DB">
      <w:pPr>
        <w:spacing w:after="0"/>
        <w:ind w:left="709" w:hanging="720"/>
        <w:jc w:val="both"/>
        <w:rPr>
          <w:rFonts w:cs="Arial"/>
          <w:szCs w:val="24"/>
          <w:highlight w:val="yellow"/>
        </w:rPr>
      </w:pPr>
    </w:p>
    <w:p w14:paraId="31139533" w14:textId="77AEAE52" w:rsidR="005A65D5" w:rsidRDefault="003808D3" w:rsidP="004321DB">
      <w:pPr>
        <w:spacing w:after="0"/>
        <w:jc w:val="both"/>
        <w:rPr>
          <w:rFonts w:cs="Arial"/>
          <w:szCs w:val="24"/>
        </w:rPr>
      </w:pPr>
      <w:r w:rsidRPr="00DE45C1">
        <w:rPr>
          <w:rFonts w:cs="Arial"/>
          <w:szCs w:val="24"/>
        </w:rPr>
        <w:t>In addition the report sets out the advice of the</w:t>
      </w:r>
      <w:r w:rsidR="009F206C" w:rsidRPr="00DE45C1">
        <w:rPr>
          <w:rFonts w:cs="Arial"/>
          <w:szCs w:val="24"/>
        </w:rPr>
        <w:t xml:space="preserve"> </w:t>
      </w:r>
      <w:r w:rsidR="00515C87">
        <w:rPr>
          <w:rFonts w:cs="Arial"/>
          <w:szCs w:val="24"/>
        </w:rPr>
        <w:t xml:space="preserve">Chief Executive and </w:t>
      </w:r>
      <w:r w:rsidR="009F206C" w:rsidRPr="00DE45C1">
        <w:rPr>
          <w:rFonts w:cs="Arial"/>
          <w:szCs w:val="24"/>
        </w:rPr>
        <w:t>Director of Resources</w:t>
      </w:r>
      <w:r w:rsidR="00893C5D" w:rsidRPr="00DE45C1">
        <w:rPr>
          <w:rFonts w:cs="Arial"/>
          <w:szCs w:val="24"/>
        </w:rPr>
        <w:t>,</w:t>
      </w:r>
      <w:r w:rsidR="00605C00">
        <w:rPr>
          <w:rFonts w:cs="Arial"/>
          <w:szCs w:val="24"/>
        </w:rPr>
        <w:t xml:space="preserve"> as the c</w:t>
      </w:r>
      <w:r w:rsidRPr="00DE45C1">
        <w:rPr>
          <w:rFonts w:cs="Arial"/>
          <w:szCs w:val="24"/>
        </w:rPr>
        <w:t>ouncil's statutory Chief Finance Officer</w:t>
      </w:r>
      <w:r w:rsidR="00893C5D" w:rsidRPr="00DE45C1">
        <w:rPr>
          <w:rFonts w:cs="Arial"/>
          <w:szCs w:val="24"/>
        </w:rPr>
        <w:t>,</w:t>
      </w:r>
      <w:r w:rsidR="001D7894" w:rsidRPr="00DE45C1">
        <w:rPr>
          <w:rFonts w:cs="Arial"/>
          <w:szCs w:val="24"/>
        </w:rPr>
        <w:t xml:space="preserve"> </w:t>
      </w:r>
      <w:r w:rsidRPr="00DE45C1">
        <w:rPr>
          <w:rFonts w:cs="Arial"/>
          <w:szCs w:val="24"/>
        </w:rPr>
        <w:t>on the robustness of the budget and the adequac</w:t>
      </w:r>
      <w:r w:rsidR="005347EA" w:rsidRPr="00DE45C1">
        <w:rPr>
          <w:rFonts w:cs="Arial"/>
          <w:szCs w:val="24"/>
        </w:rPr>
        <w:t xml:space="preserve">y of reserves as required by Section </w:t>
      </w:r>
      <w:r w:rsidRPr="00DE45C1">
        <w:rPr>
          <w:rFonts w:cs="Arial"/>
          <w:szCs w:val="24"/>
        </w:rPr>
        <w:t>25 of the Local Government Act 2003.</w:t>
      </w:r>
    </w:p>
    <w:p w14:paraId="7C6CE3E0" w14:textId="77777777" w:rsidR="00605C00" w:rsidRDefault="00605C00" w:rsidP="004321DB">
      <w:pPr>
        <w:spacing w:after="0"/>
        <w:jc w:val="both"/>
        <w:rPr>
          <w:rFonts w:cs="Arial"/>
          <w:szCs w:val="24"/>
        </w:rPr>
      </w:pPr>
    </w:p>
    <w:p w14:paraId="11243B37" w14:textId="15179F73" w:rsidR="006067B9" w:rsidRPr="001C7053" w:rsidRDefault="006067B9" w:rsidP="006067B9">
      <w:pPr>
        <w:spacing w:after="0"/>
        <w:jc w:val="both"/>
        <w:rPr>
          <w:rFonts w:cs="Arial"/>
        </w:rPr>
      </w:pPr>
      <w:r w:rsidRPr="001C7053">
        <w:rPr>
          <w:rFonts w:cs="Arial"/>
          <w:szCs w:val="24"/>
        </w:rPr>
        <w:t>Reports wil</w:t>
      </w:r>
      <w:r w:rsidR="00464763">
        <w:rPr>
          <w:rFonts w:cs="Arial"/>
          <w:szCs w:val="24"/>
        </w:rPr>
        <w:t>l be provided regularly to c</w:t>
      </w:r>
      <w:r w:rsidRPr="001C7053">
        <w:rPr>
          <w:rFonts w:cs="Arial"/>
          <w:szCs w:val="24"/>
        </w:rPr>
        <w:t xml:space="preserve">abinet in 2019/20 to update </w:t>
      </w:r>
      <w:r w:rsidR="00464763">
        <w:rPr>
          <w:rFonts w:cs="Arial"/>
          <w:szCs w:val="24"/>
        </w:rPr>
        <w:t>the financial position for the county c</w:t>
      </w:r>
      <w:r w:rsidRPr="001C7053">
        <w:rPr>
          <w:rFonts w:cs="Arial"/>
          <w:szCs w:val="24"/>
        </w:rPr>
        <w:t>ouncil based on the latest information.</w:t>
      </w:r>
    </w:p>
    <w:p w14:paraId="786EF82A" w14:textId="77777777" w:rsidR="00605C00" w:rsidRPr="00DE45C1" w:rsidRDefault="00605C00" w:rsidP="004321DB">
      <w:pPr>
        <w:spacing w:after="0"/>
        <w:jc w:val="both"/>
        <w:rPr>
          <w:rFonts w:cs="Arial"/>
          <w:szCs w:val="24"/>
        </w:rPr>
      </w:pPr>
    </w:p>
    <w:p w14:paraId="574F92ED" w14:textId="77777777" w:rsidR="003808D3" w:rsidRPr="00DE45C1" w:rsidRDefault="005A65D5" w:rsidP="004321DB">
      <w:pPr>
        <w:autoSpaceDE w:val="0"/>
        <w:autoSpaceDN w:val="0"/>
        <w:adjustRightInd w:val="0"/>
        <w:spacing w:after="0"/>
        <w:jc w:val="both"/>
        <w:rPr>
          <w:rFonts w:cs="Arial"/>
          <w:b/>
          <w:color w:val="000000"/>
          <w:szCs w:val="24"/>
        </w:rPr>
      </w:pPr>
      <w:r w:rsidRPr="00DE45C1">
        <w:rPr>
          <w:rFonts w:cs="Arial"/>
          <w:b/>
          <w:color w:val="000000"/>
          <w:szCs w:val="24"/>
        </w:rPr>
        <w:t xml:space="preserve">2. </w:t>
      </w:r>
      <w:r w:rsidR="003808D3" w:rsidRPr="00DE45C1">
        <w:rPr>
          <w:rFonts w:cs="Arial"/>
          <w:b/>
          <w:color w:val="000000"/>
          <w:szCs w:val="24"/>
        </w:rPr>
        <w:t>The Budget Process</w:t>
      </w:r>
    </w:p>
    <w:p w14:paraId="22C4804A" w14:textId="77777777" w:rsidR="003808D3" w:rsidRPr="00DE45C1" w:rsidRDefault="003808D3" w:rsidP="004321DB">
      <w:pPr>
        <w:pStyle w:val="ListParagraph"/>
        <w:autoSpaceDE w:val="0"/>
        <w:autoSpaceDN w:val="0"/>
        <w:adjustRightInd w:val="0"/>
        <w:spacing w:after="0"/>
        <w:ind w:left="360"/>
        <w:jc w:val="both"/>
        <w:rPr>
          <w:rFonts w:cs="Arial"/>
          <w:b/>
          <w:color w:val="000000"/>
          <w:szCs w:val="24"/>
        </w:rPr>
      </w:pPr>
    </w:p>
    <w:p w14:paraId="677A69D4" w14:textId="03627608" w:rsidR="003808D3" w:rsidRPr="00DE45C1" w:rsidRDefault="00DF5474" w:rsidP="004321DB">
      <w:pPr>
        <w:autoSpaceDE w:val="0"/>
        <w:autoSpaceDN w:val="0"/>
        <w:adjustRightInd w:val="0"/>
        <w:spacing w:after="0"/>
        <w:jc w:val="both"/>
        <w:rPr>
          <w:rFonts w:cs="Arial"/>
          <w:color w:val="000000"/>
          <w:szCs w:val="24"/>
        </w:rPr>
      </w:pPr>
      <w:r w:rsidRPr="00DE45C1">
        <w:rPr>
          <w:rFonts w:cs="Arial"/>
          <w:color w:val="000000"/>
          <w:szCs w:val="24"/>
        </w:rPr>
        <w:t>The</w:t>
      </w:r>
      <w:r w:rsidR="00605C00">
        <w:rPr>
          <w:rFonts w:cs="Arial"/>
          <w:color w:val="000000"/>
          <w:szCs w:val="24"/>
        </w:rPr>
        <w:t xml:space="preserve"> county c</w:t>
      </w:r>
      <w:r w:rsidR="003808D3" w:rsidRPr="00DE45C1">
        <w:rPr>
          <w:rFonts w:cs="Arial"/>
          <w:color w:val="000000"/>
          <w:szCs w:val="24"/>
        </w:rPr>
        <w:t>ouncil</w:t>
      </w:r>
      <w:r w:rsidR="00437A66" w:rsidRPr="00DE45C1">
        <w:rPr>
          <w:rFonts w:cs="Arial"/>
          <w:color w:val="000000"/>
          <w:szCs w:val="24"/>
        </w:rPr>
        <w:t xml:space="preserve">'s </w:t>
      </w:r>
      <w:r w:rsidR="003808D3" w:rsidRPr="00DE45C1">
        <w:rPr>
          <w:rFonts w:cs="Arial"/>
          <w:color w:val="000000"/>
          <w:szCs w:val="24"/>
        </w:rPr>
        <w:t xml:space="preserve">approach </w:t>
      </w:r>
      <w:r w:rsidR="00437A66" w:rsidRPr="00DE45C1">
        <w:rPr>
          <w:rFonts w:cs="Arial"/>
          <w:color w:val="000000"/>
          <w:szCs w:val="24"/>
        </w:rPr>
        <w:t xml:space="preserve">is </w:t>
      </w:r>
      <w:r w:rsidR="009E6B90" w:rsidRPr="00DE45C1">
        <w:rPr>
          <w:rFonts w:cs="Arial"/>
          <w:color w:val="000000"/>
          <w:szCs w:val="24"/>
        </w:rPr>
        <w:t xml:space="preserve">driven by a </w:t>
      </w:r>
      <w:r w:rsidR="00035C87" w:rsidRPr="00DE45C1">
        <w:rPr>
          <w:rFonts w:cs="Arial"/>
          <w:color w:val="000000"/>
          <w:szCs w:val="24"/>
        </w:rPr>
        <w:t xml:space="preserve">formal </w:t>
      </w:r>
      <w:r w:rsidR="009E6B90" w:rsidRPr="00DE45C1">
        <w:rPr>
          <w:rFonts w:cs="Arial"/>
          <w:color w:val="000000"/>
          <w:szCs w:val="24"/>
        </w:rPr>
        <w:t>requirement to</w:t>
      </w:r>
      <w:r w:rsidRPr="00DE45C1">
        <w:rPr>
          <w:rFonts w:cs="Arial"/>
          <w:color w:val="000000"/>
          <w:szCs w:val="24"/>
        </w:rPr>
        <w:t xml:space="preserve"> deli</w:t>
      </w:r>
      <w:r w:rsidR="006D004E" w:rsidRPr="00DE45C1">
        <w:rPr>
          <w:rFonts w:cs="Arial"/>
          <w:color w:val="000000"/>
          <w:szCs w:val="24"/>
        </w:rPr>
        <w:t xml:space="preserve">ver a balanced budget in </w:t>
      </w:r>
      <w:r w:rsidR="00DE45C1" w:rsidRPr="00DE45C1">
        <w:rPr>
          <w:rFonts w:cs="Arial"/>
          <w:color w:val="000000"/>
          <w:szCs w:val="24"/>
        </w:rPr>
        <w:t>2019/20</w:t>
      </w:r>
      <w:r w:rsidR="009E6B90" w:rsidRPr="00DE45C1">
        <w:rPr>
          <w:rFonts w:cs="Arial"/>
          <w:color w:val="000000"/>
          <w:szCs w:val="24"/>
        </w:rPr>
        <w:t>. This needs to be undertaken whilst recognising</w:t>
      </w:r>
      <w:r w:rsidRPr="00DE45C1">
        <w:rPr>
          <w:rFonts w:cs="Arial"/>
          <w:color w:val="000000"/>
          <w:szCs w:val="24"/>
        </w:rPr>
        <w:t xml:space="preserve"> </w:t>
      </w:r>
      <w:r w:rsidR="004C63E1" w:rsidRPr="00DE45C1">
        <w:rPr>
          <w:rFonts w:cs="Arial"/>
          <w:color w:val="000000"/>
          <w:szCs w:val="24"/>
        </w:rPr>
        <w:t xml:space="preserve">the position for </w:t>
      </w:r>
      <w:r w:rsidR="00300D9C" w:rsidRPr="00DE45C1">
        <w:rPr>
          <w:rFonts w:cs="Arial"/>
          <w:color w:val="000000"/>
          <w:szCs w:val="24"/>
        </w:rPr>
        <w:t>f</w:t>
      </w:r>
      <w:r w:rsidR="00AF1CEB" w:rsidRPr="00DE45C1">
        <w:rPr>
          <w:rFonts w:cs="Arial"/>
          <w:color w:val="000000"/>
          <w:szCs w:val="24"/>
        </w:rPr>
        <w:t>uture</w:t>
      </w:r>
      <w:r w:rsidR="004C63E1" w:rsidRPr="00DE45C1">
        <w:rPr>
          <w:rFonts w:cs="Arial"/>
          <w:color w:val="000000"/>
          <w:szCs w:val="24"/>
        </w:rPr>
        <w:t xml:space="preserve"> </w:t>
      </w:r>
      <w:r w:rsidR="00C86DAA" w:rsidRPr="00DE45C1">
        <w:rPr>
          <w:rFonts w:cs="Arial"/>
          <w:color w:val="000000"/>
          <w:szCs w:val="24"/>
        </w:rPr>
        <w:t>y</w:t>
      </w:r>
      <w:r w:rsidR="006D004E" w:rsidRPr="00DE45C1">
        <w:rPr>
          <w:rFonts w:cs="Arial"/>
          <w:color w:val="000000"/>
          <w:szCs w:val="24"/>
        </w:rPr>
        <w:t>ears</w:t>
      </w:r>
      <w:r w:rsidR="00A87166" w:rsidRPr="00DE45C1">
        <w:rPr>
          <w:rFonts w:cs="Arial"/>
          <w:color w:val="000000"/>
          <w:szCs w:val="24"/>
        </w:rPr>
        <w:t xml:space="preserve"> and that there will be a requirement for </w:t>
      </w:r>
      <w:r w:rsidR="00F52993" w:rsidRPr="00DE45C1">
        <w:rPr>
          <w:rFonts w:cs="Arial"/>
          <w:color w:val="000000"/>
          <w:szCs w:val="24"/>
        </w:rPr>
        <w:t xml:space="preserve">reserves to support the </w:t>
      </w:r>
      <w:r w:rsidR="00DE45C1" w:rsidRPr="00DE45C1">
        <w:rPr>
          <w:rFonts w:cs="Arial"/>
          <w:color w:val="000000"/>
          <w:szCs w:val="24"/>
        </w:rPr>
        <w:t>2019/20</w:t>
      </w:r>
      <w:r w:rsidR="00A87166" w:rsidRPr="00DE45C1">
        <w:rPr>
          <w:rFonts w:cs="Arial"/>
          <w:color w:val="000000"/>
          <w:szCs w:val="24"/>
        </w:rPr>
        <w:t xml:space="preserve"> budget. </w:t>
      </w:r>
      <w:r w:rsidR="008736A8" w:rsidRPr="00DE45C1">
        <w:rPr>
          <w:rFonts w:cs="Arial"/>
          <w:color w:val="000000"/>
          <w:szCs w:val="24"/>
        </w:rPr>
        <w:t xml:space="preserve"> </w:t>
      </w:r>
      <w:r w:rsidR="00605C00">
        <w:rPr>
          <w:rFonts w:cs="Arial"/>
          <w:color w:val="000000"/>
          <w:szCs w:val="24"/>
        </w:rPr>
        <w:t>The c</w:t>
      </w:r>
      <w:r w:rsidR="003808D3" w:rsidRPr="00DE45C1">
        <w:rPr>
          <w:rFonts w:cs="Arial"/>
          <w:color w:val="000000"/>
          <w:szCs w:val="24"/>
        </w:rPr>
        <w:t>abine</w:t>
      </w:r>
      <w:r w:rsidRPr="00DE45C1">
        <w:rPr>
          <w:rFonts w:cs="Arial"/>
          <w:color w:val="000000"/>
          <w:szCs w:val="24"/>
        </w:rPr>
        <w:t xml:space="preserve">t has considered </w:t>
      </w:r>
      <w:r w:rsidR="00035C87" w:rsidRPr="00DE45C1">
        <w:rPr>
          <w:rFonts w:cs="Arial"/>
          <w:color w:val="000000"/>
          <w:szCs w:val="24"/>
        </w:rPr>
        <w:t>t</w:t>
      </w:r>
      <w:r w:rsidRPr="00DE45C1">
        <w:rPr>
          <w:rFonts w:cs="Arial"/>
          <w:color w:val="000000"/>
          <w:szCs w:val="24"/>
        </w:rPr>
        <w:t xml:space="preserve">he </w:t>
      </w:r>
      <w:r w:rsidR="00035C87" w:rsidRPr="00DE45C1">
        <w:rPr>
          <w:rFonts w:cs="Arial"/>
          <w:color w:val="000000"/>
          <w:szCs w:val="24"/>
        </w:rPr>
        <w:t xml:space="preserve">budget for </w:t>
      </w:r>
      <w:r w:rsidR="00DE45C1" w:rsidRPr="00DE45C1">
        <w:rPr>
          <w:rFonts w:cs="Arial"/>
          <w:color w:val="000000"/>
          <w:szCs w:val="24"/>
        </w:rPr>
        <w:t>2019/20</w:t>
      </w:r>
      <w:r w:rsidR="009A7115" w:rsidRPr="00DE45C1">
        <w:rPr>
          <w:rFonts w:cs="Arial"/>
          <w:color w:val="000000"/>
          <w:szCs w:val="24"/>
        </w:rPr>
        <w:t xml:space="preserve"> </w:t>
      </w:r>
      <w:r w:rsidR="006D004E" w:rsidRPr="00DE45C1">
        <w:rPr>
          <w:rFonts w:cs="Arial"/>
          <w:color w:val="000000"/>
          <w:szCs w:val="24"/>
        </w:rPr>
        <w:t xml:space="preserve">and future years </w:t>
      </w:r>
      <w:r w:rsidR="003808D3" w:rsidRPr="00DE45C1">
        <w:rPr>
          <w:rFonts w:cs="Arial"/>
          <w:color w:val="000000"/>
          <w:szCs w:val="24"/>
        </w:rPr>
        <w:t>at a number of its meetings</w:t>
      </w:r>
      <w:r w:rsidR="00035C87" w:rsidRPr="00DE45C1">
        <w:rPr>
          <w:rFonts w:cs="Arial"/>
          <w:color w:val="000000"/>
          <w:szCs w:val="24"/>
        </w:rPr>
        <w:t>. T</w:t>
      </w:r>
      <w:r w:rsidR="003808D3" w:rsidRPr="00DE45C1">
        <w:rPr>
          <w:rFonts w:cs="Arial"/>
          <w:color w:val="000000"/>
          <w:szCs w:val="24"/>
        </w:rPr>
        <w:t>he reports considered can be found</w:t>
      </w:r>
      <w:r w:rsidR="009E5B30" w:rsidRPr="00DE45C1">
        <w:rPr>
          <w:rFonts w:cs="Arial"/>
          <w:color w:val="000000"/>
          <w:szCs w:val="24"/>
        </w:rPr>
        <w:t xml:space="preserve"> </w:t>
      </w:r>
      <w:r w:rsidR="003808D3" w:rsidRPr="00DE45C1">
        <w:rPr>
          <w:rFonts w:cs="Arial"/>
          <w:color w:val="000000"/>
          <w:szCs w:val="24"/>
        </w:rPr>
        <w:t>at:</w:t>
      </w:r>
    </w:p>
    <w:p w14:paraId="5E3AC6C6" w14:textId="77777777" w:rsidR="009E5B30" w:rsidRPr="00605C00" w:rsidRDefault="009E5B30" w:rsidP="004321DB">
      <w:pPr>
        <w:autoSpaceDE w:val="0"/>
        <w:autoSpaceDN w:val="0"/>
        <w:adjustRightInd w:val="0"/>
        <w:spacing w:after="0"/>
        <w:jc w:val="both"/>
        <w:rPr>
          <w:rFonts w:cs="Arial"/>
          <w:color w:val="0000FF"/>
          <w:szCs w:val="24"/>
        </w:rPr>
      </w:pPr>
    </w:p>
    <w:p w14:paraId="3374FA12" w14:textId="77777777" w:rsidR="00F52993" w:rsidRPr="00605C00" w:rsidRDefault="005044A8" w:rsidP="00F52993">
      <w:pPr>
        <w:spacing w:after="0"/>
        <w:jc w:val="both"/>
        <w:rPr>
          <w:rFonts w:cs="Arial"/>
          <w:szCs w:val="24"/>
        </w:rPr>
      </w:pPr>
      <w:hyperlink r:id="rId8" w:history="1">
        <w:r w:rsidR="00F52993" w:rsidRPr="00605C00">
          <w:rPr>
            <w:rStyle w:val="Hyperlink"/>
            <w:rFonts w:cs="Arial"/>
            <w:szCs w:val="24"/>
          </w:rPr>
          <w:t>http://council.lancashire.gov.uk/ieListMeetings.aspx?CommitteeId=122</w:t>
        </w:r>
      </w:hyperlink>
    </w:p>
    <w:p w14:paraId="0BD9E756" w14:textId="77777777" w:rsidR="00527478" w:rsidRPr="00DE45C1" w:rsidRDefault="00527478" w:rsidP="00461D95">
      <w:pPr>
        <w:spacing w:after="0"/>
        <w:jc w:val="both"/>
        <w:rPr>
          <w:rFonts w:cs="Arial"/>
          <w:highlight w:val="yellow"/>
        </w:rPr>
      </w:pPr>
    </w:p>
    <w:p w14:paraId="2E2A3BD4" w14:textId="1697B0B4" w:rsidR="0051589C" w:rsidRPr="00DE45C1" w:rsidRDefault="00F7294A" w:rsidP="00461D95">
      <w:pPr>
        <w:spacing w:after="0"/>
        <w:jc w:val="both"/>
        <w:rPr>
          <w:rFonts w:cs="Arial"/>
          <w:b/>
          <w:szCs w:val="24"/>
        </w:rPr>
      </w:pPr>
      <w:r>
        <w:rPr>
          <w:rFonts w:cs="Arial"/>
          <w:b/>
          <w:szCs w:val="24"/>
        </w:rPr>
        <w:t>3</w:t>
      </w:r>
      <w:r w:rsidR="005A65D5" w:rsidRPr="00DE45C1">
        <w:rPr>
          <w:rFonts w:cs="Arial"/>
          <w:b/>
          <w:szCs w:val="24"/>
        </w:rPr>
        <w:t xml:space="preserve">. </w:t>
      </w:r>
      <w:r w:rsidR="003E4DC9" w:rsidRPr="00DE45C1">
        <w:rPr>
          <w:rFonts w:cs="Arial"/>
          <w:b/>
          <w:szCs w:val="24"/>
        </w:rPr>
        <w:t>The</w:t>
      </w:r>
      <w:r w:rsidR="00054F61" w:rsidRPr="00DE45C1">
        <w:rPr>
          <w:rFonts w:cs="Arial"/>
          <w:b/>
          <w:szCs w:val="24"/>
        </w:rPr>
        <w:t xml:space="preserve"> Revenue Budget</w:t>
      </w:r>
      <w:r w:rsidR="00054F61" w:rsidRPr="00DE45C1">
        <w:rPr>
          <w:rFonts w:cs="Arial"/>
          <w:szCs w:val="24"/>
        </w:rPr>
        <w:t xml:space="preserve"> </w:t>
      </w:r>
      <w:r w:rsidR="00DE45C1" w:rsidRPr="00DE45C1">
        <w:rPr>
          <w:rFonts w:cs="Arial"/>
          <w:b/>
          <w:szCs w:val="24"/>
        </w:rPr>
        <w:t>2019/20</w:t>
      </w:r>
      <w:r w:rsidR="00272254" w:rsidRPr="00DE45C1">
        <w:rPr>
          <w:rFonts w:cs="Arial"/>
          <w:b/>
          <w:szCs w:val="24"/>
        </w:rPr>
        <w:t xml:space="preserve"> to </w:t>
      </w:r>
      <w:r w:rsidR="0051589C" w:rsidRPr="00DE45C1">
        <w:rPr>
          <w:rFonts w:cs="Arial"/>
          <w:b/>
          <w:szCs w:val="24"/>
        </w:rPr>
        <w:t>2022</w:t>
      </w:r>
      <w:r w:rsidR="00DE45C1" w:rsidRPr="00DE45C1">
        <w:rPr>
          <w:rFonts w:cs="Arial"/>
          <w:b/>
          <w:szCs w:val="24"/>
        </w:rPr>
        <w:t>/</w:t>
      </w:r>
      <w:r w:rsidR="0051589C" w:rsidRPr="00DE45C1">
        <w:rPr>
          <w:rFonts w:cs="Arial"/>
          <w:b/>
          <w:szCs w:val="24"/>
        </w:rPr>
        <w:t>2</w:t>
      </w:r>
      <w:r w:rsidR="00DE45C1" w:rsidRPr="00DE45C1">
        <w:rPr>
          <w:rFonts w:cs="Arial"/>
          <w:b/>
          <w:szCs w:val="24"/>
        </w:rPr>
        <w:t>3</w:t>
      </w:r>
    </w:p>
    <w:p w14:paraId="5491FDC1" w14:textId="77777777" w:rsidR="005A65D5" w:rsidRPr="00DE45C1" w:rsidRDefault="005A65D5" w:rsidP="00F7294A">
      <w:pPr>
        <w:spacing w:after="0"/>
        <w:jc w:val="both"/>
        <w:rPr>
          <w:rFonts w:cs="Arial"/>
          <w:i/>
          <w:szCs w:val="24"/>
          <w:highlight w:val="yellow"/>
        </w:rPr>
      </w:pPr>
    </w:p>
    <w:p w14:paraId="080C6BD5" w14:textId="690C7B22" w:rsidR="00461D95" w:rsidRPr="00DE45C1" w:rsidRDefault="001C7053" w:rsidP="004321DB">
      <w:pPr>
        <w:spacing w:after="0"/>
        <w:jc w:val="both"/>
        <w:rPr>
          <w:rFonts w:cs="Arial"/>
          <w:szCs w:val="24"/>
        </w:rPr>
      </w:pPr>
      <w:r>
        <w:rPr>
          <w:rFonts w:cs="Arial"/>
          <w:szCs w:val="24"/>
        </w:rPr>
        <w:t>The county council's medium term financial s</w:t>
      </w:r>
      <w:r w:rsidR="007D3028" w:rsidRPr="00DE45C1">
        <w:rPr>
          <w:rFonts w:cs="Arial"/>
          <w:szCs w:val="24"/>
        </w:rPr>
        <w:t xml:space="preserve">trategy (MTFS) was approved </w:t>
      </w:r>
      <w:r w:rsidR="00515C87">
        <w:rPr>
          <w:rFonts w:cs="Arial"/>
          <w:szCs w:val="24"/>
        </w:rPr>
        <w:t>by full c</w:t>
      </w:r>
      <w:r w:rsidR="00BC16B7" w:rsidRPr="00DE45C1">
        <w:rPr>
          <w:rFonts w:cs="Arial"/>
          <w:szCs w:val="24"/>
        </w:rPr>
        <w:t xml:space="preserve">ouncil in February </w:t>
      </w:r>
      <w:r w:rsidR="0051589C" w:rsidRPr="00DE45C1">
        <w:rPr>
          <w:rFonts w:cs="Arial"/>
          <w:szCs w:val="24"/>
        </w:rPr>
        <w:t>201</w:t>
      </w:r>
      <w:r w:rsidR="00641C14">
        <w:rPr>
          <w:rFonts w:cs="Arial"/>
          <w:szCs w:val="24"/>
        </w:rPr>
        <w:t>8</w:t>
      </w:r>
      <w:r w:rsidR="007D3028" w:rsidRPr="00DE45C1">
        <w:rPr>
          <w:rFonts w:cs="Arial"/>
          <w:szCs w:val="24"/>
        </w:rPr>
        <w:t xml:space="preserve"> covering the </w:t>
      </w:r>
      <w:r>
        <w:rPr>
          <w:rFonts w:cs="Arial"/>
          <w:szCs w:val="24"/>
        </w:rPr>
        <w:t>201</w:t>
      </w:r>
      <w:r w:rsidR="00641C14">
        <w:rPr>
          <w:rFonts w:cs="Arial"/>
          <w:szCs w:val="24"/>
        </w:rPr>
        <w:t>8/19</w:t>
      </w:r>
      <w:r w:rsidR="007D3028" w:rsidRPr="00DE45C1">
        <w:rPr>
          <w:rFonts w:cs="Arial"/>
          <w:szCs w:val="24"/>
        </w:rPr>
        <w:t xml:space="preserve"> budget and the forecast position for </w:t>
      </w:r>
      <w:r w:rsidR="00641C14">
        <w:rPr>
          <w:rFonts w:cs="Arial"/>
          <w:szCs w:val="24"/>
        </w:rPr>
        <w:t>2019/20</w:t>
      </w:r>
      <w:r w:rsidR="007D3028" w:rsidRPr="00DE45C1">
        <w:rPr>
          <w:rFonts w:cs="Arial"/>
          <w:szCs w:val="24"/>
        </w:rPr>
        <w:t xml:space="preserve"> to </w:t>
      </w:r>
      <w:r w:rsidR="00642549" w:rsidRPr="00DE45C1">
        <w:rPr>
          <w:rFonts w:cs="Arial"/>
          <w:szCs w:val="24"/>
        </w:rPr>
        <w:t>202</w:t>
      </w:r>
      <w:r w:rsidR="00641C14">
        <w:rPr>
          <w:rFonts w:cs="Arial"/>
          <w:szCs w:val="24"/>
        </w:rPr>
        <w:t>1/22</w:t>
      </w:r>
      <w:r w:rsidR="00537E10" w:rsidRPr="00DE45C1">
        <w:rPr>
          <w:rFonts w:cs="Arial"/>
          <w:szCs w:val="24"/>
        </w:rPr>
        <w:t>.  This identified the funding gap in each year as follows:</w:t>
      </w:r>
    </w:p>
    <w:p w14:paraId="05B01550" w14:textId="77777777" w:rsidR="00461D95" w:rsidRPr="00DE45C1" w:rsidRDefault="00461D95" w:rsidP="004321DB">
      <w:pPr>
        <w:spacing w:after="0"/>
        <w:jc w:val="both"/>
        <w:rPr>
          <w:rFonts w:cs="Arial"/>
          <w:szCs w:val="24"/>
          <w:highlight w:val="yellow"/>
        </w:rPr>
      </w:pPr>
    </w:p>
    <w:p w14:paraId="6896A6F4" w14:textId="74E0C9A2" w:rsidR="00461D95" w:rsidRPr="00DE45C1" w:rsidRDefault="00461D95" w:rsidP="001D7894">
      <w:pPr>
        <w:spacing w:after="0"/>
        <w:rPr>
          <w:rFonts w:cs="Arial"/>
          <w:b/>
          <w:szCs w:val="24"/>
          <w:u w:val="single"/>
        </w:rPr>
      </w:pPr>
      <w:r w:rsidRPr="00DE45C1">
        <w:rPr>
          <w:rFonts w:cs="Arial"/>
          <w:b/>
          <w:szCs w:val="24"/>
          <w:u w:val="single"/>
        </w:rPr>
        <w:t>Table 1</w:t>
      </w:r>
    </w:p>
    <w:p w14:paraId="23D28D4F" w14:textId="77777777" w:rsidR="001D7894" w:rsidRDefault="001D7894" w:rsidP="004321DB">
      <w:pPr>
        <w:spacing w:after="0"/>
        <w:jc w:val="both"/>
        <w:rPr>
          <w:rFonts w:cs="Arial"/>
          <w:b/>
          <w:szCs w:val="24"/>
          <w:highlight w:val="yellow"/>
          <w:u w:val="single"/>
        </w:rPr>
      </w:pPr>
    </w:p>
    <w:tbl>
      <w:tblPr>
        <w:tblW w:w="9629" w:type="dxa"/>
        <w:tblLook w:val="04A0" w:firstRow="1" w:lastRow="0" w:firstColumn="1" w:lastColumn="0" w:noHBand="0" w:noVBand="1"/>
      </w:tblPr>
      <w:tblGrid>
        <w:gridCol w:w="4810"/>
        <w:gridCol w:w="1204"/>
        <w:gridCol w:w="1205"/>
        <w:gridCol w:w="1205"/>
        <w:gridCol w:w="1205"/>
      </w:tblGrid>
      <w:tr w:rsidR="001C7053" w:rsidRPr="001C7053" w14:paraId="27648C8E" w14:textId="77777777" w:rsidTr="00D02B3A">
        <w:trPr>
          <w:trHeight w:val="48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E1F16AA" w14:textId="77777777" w:rsidR="001C7053" w:rsidRPr="001C7053" w:rsidRDefault="001C7053" w:rsidP="001C7053">
            <w:pPr>
              <w:spacing w:after="0" w:line="240" w:lineRule="auto"/>
              <w:rPr>
                <w:rFonts w:cs="Arial"/>
                <w:b/>
                <w:bCs/>
                <w:color w:val="000000"/>
                <w:szCs w:val="24"/>
                <w:lang w:eastAsia="en-GB"/>
              </w:rPr>
            </w:pPr>
            <w:r w:rsidRPr="001C7053">
              <w:rPr>
                <w:rFonts w:cs="Arial"/>
                <w:b/>
                <w:bCs/>
                <w:color w:val="000000"/>
                <w:szCs w:val="24"/>
                <w:lang w:eastAsia="en-GB"/>
              </w:rPr>
              <w:t>Aggregated Funding Gap</w:t>
            </w:r>
          </w:p>
        </w:tc>
        <w:tc>
          <w:tcPr>
            <w:tcW w:w="1204" w:type="dxa"/>
            <w:tcBorders>
              <w:top w:val="single" w:sz="8" w:space="0" w:color="auto"/>
              <w:left w:val="nil"/>
              <w:bottom w:val="single" w:sz="8" w:space="0" w:color="auto"/>
              <w:right w:val="single" w:sz="8" w:space="0" w:color="auto"/>
            </w:tcBorders>
            <w:shd w:val="clear" w:color="000000" w:fill="BFBFBF"/>
            <w:vAlign w:val="center"/>
            <w:hideMark/>
          </w:tcPr>
          <w:p w14:paraId="49B55EC9" w14:textId="77777777" w:rsidR="001C7053" w:rsidRPr="001C7053" w:rsidRDefault="001C7053" w:rsidP="001C7053">
            <w:pPr>
              <w:spacing w:after="0" w:line="240" w:lineRule="auto"/>
              <w:jc w:val="right"/>
              <w:rPr>
                <w:rFonts w:cs="Arial"/>
                <w:b/>
                <w:bCs/>
                <w:color w:val="000000"/>
                <w:szCs w:val="24"/>
                <w:lang w:eastAsia="en-GB"/>
              </w:rPr>
            </w:pPr>
            <w:r w:rsidRPr="001C7053">
              <w:rPr>
                <w:rFonts w:cs="Arial"/>
                <w:b/>
                <w:bCs/>
                <w:color w:val="000000"/>
                <w:szCs w:val="24"/>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4E02157E" w14:textId="77777777" w:rsidR="001C7053" w:rsidRPr="001C7053" w:rsidRDefault="001C7053" w:rsidP="001C7053">
            <w:pPr>
              <w:spacing w:after="0" w:line="240" w:lineRule="auto"/>
              <w:jc w:val="right"/>
              <w:rPr>
                <w:rFonts w:cs="Arial"/>
                <w:b/>
                <w:bCs/>
                <w:color w:val="000000"/>
                <w:szCs w:val="24"/>
                <w:lang w:eastAsia="en-GB"/>
              </w:rPr>
            </w:pPr>
            <w:r w:rsidRPr="001C7053">
              <w:rPr>
                <w:rFonts w:cs="Arial"/>
                <w:b/>
                <w:bCs/>
                <w:color w:val="000000"/>
                <w:szCs w:val="24"/>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40FF5FC2" w14:textId="77777777" w:rsidR="001C7053" w:rsidRPr="001C7053" w:rsidRDefault="001C7053" w:rsidP="001C7053">
            <w:pPr>
              <w:spacing w:after="0" w:line="240" w:lineRule="auto"/>
              <w:jc w:val="right"/>
              <w:rPr>
                <w:rFonts w:cs="Arial"/>
                <w:b/>
                <w:bCs/>
                <w:color w:val="000000"/>
                <w:szCs w:val="24"/>
                <w:lang w:eastAsia="en-GB"/>
              </w:rPr>
            </w:pPr>
            <w:r w:rsidRPr="001C7053">
              <w:rPr>
                <w:rFonts w:cs="Arial"/>
                <w:b/>
                <w:bCs/>
                <w:color w:val="000000"/>
                <w:szCs w:val="24"/>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20097F47" w14:textId="77777777" w:rsidR="001C7053" w:rsidRPr="001C7053" w:rsidRDefault="001C7053" w:rsidP="001C7053">
            <w:pPr>
              <w:spacing w:after="0" w:line="240" w:lineRule="auto"/>
              <w:jc w:val="right"/>
              <w:rPr>
                <w:rFonts w:cs="Arial"/>
                <w:b/>
                <w:bCs/>
                <w:color w:val="000000"/>
                <w:szCs w:val="24"/>
                <w:lang w:eastAsia="en-GB"/>
              </w:rPr>
            </w:pPr>
            <w:r w:rsidRPr="001C7053">
              <w:rPr>
                <w:rFonts w:cs="Arial"/>
                <w:b/>
                <w:bCs/>
                <w:color w:val="000000"/>
                <w:szCs w:val="24"/>
                <w:lang w:eastAsia="en-GB"/>
              </w:rPr>
              <w:t> </w:t>
            </w:r>
          </w:p>
        </w:tc>
      </w:tr>
      <w:tr w:rsidR="001C7053" w:rsidRPr="001C7053" w14:paraId="799B2ED1" w14:textId="77777777" w:rsidTr="006067B9">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770DB2E" w14:textId="7C856F7C" w:rsidR="001C7053" w:rsidRPr="001C7053" w:rsidRDefault="006067B9" w:rsidP="001C7053">
            <w:pPr>
              <w:spacing w:after="0" w:line="240" w:lineRule="auto"/>
              <w:rPr>
                <w:rFonts w:cs="Arial"/>
                <w:b/>
                <w:bCs/>
                <w:color w:val="000000"/>
                <w:szCs w:val="24"/>
                <w:lang w:eastAsia="en-GB"/>
              </w:rPr>
            </w:pPr>
            <w:r>
              <w:rPr>
                <w:rFonts w:cs="Arial"/>
                <w:b/>
                <w:bCs/>
                <w:color w:val="000000"/>
                <w:szCs w:val="24"/>
                <w:lang w:eastAsia="en-GB"/>
              </w:rPr>
              <w:t>2018/19</w:t>
            </w:r>
            <w:r w:rsidR="001C7053" w:rsidRPr="001C7053">
              <w:rPr>
                <w:rFonts w:cs="Arial"/>
                <w:b/>
                <w:bCs/>
                <w:color w:val="000000"/>
                <w:szCs w:val="24"/>
                <w:lang w:eastAsia="en-GB"/>
              </w:rPr>
              <w:t xml:space="preserve"> (£m)</w:t>
            </w:r>
          </w:p>
        </w:tc>
        <w:tc>
          <w:tcPr>
            <w:tcW w:w="1204" w:type="dxa"/>
            <w:tcBorders>
              <w:top w:val="nil"/>
              <w:left w:val="nil"/>
              <w:bottom w:val="single" w:sz="8" w:space="0" w:color="auto"/>
              <w:right w:val="single" w:sz="8" w:space="0" w:color="auto"/>
            </w:tcBorders>
            <w:shd w:val="clear" w:color="auto" w:fill="auto"/>
            <w:vAlign w:val="center"/>
          </w:tcPr>
          <w:p w14:paraId="1F956B60" w14:textId="02954236"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42.045</w:t>
            </w:r>
          </w:p>
        </w:tc>
        <w:tc>
          <w:tcPr>
            <w:tcW w:w="1205" w:type="dxa"/>
            <w:tcBorders>
              <w:top w:val="nil"/>
              <w:left w:val="nil"/>
              <w:bottom w:val="single" w:sz="8" w:space="0" w:color="auto"/>
              <w:right w:val="single" w:sz="8" w:space="0" w:color="auto"/>
            </w:tcBorders>
            <w:shd w:val="clear" w:color="auto" w:fill="auto"/>
            <w:vAlign w:val="center"/>
          </w:tcPr>
          <w:p w14:paraId="4244F86C" w14:textId="3319BBA7"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42.045</w:t>
            </w:r>
          </w:p>
        </w:tc>
        <w:tc>
          <w:tcPr>
            <w:tcW w:w="1205" w:type="dxa"/>
            <w:tcBorders>
              <w:top w:val="nil"/>
              <w:left w:val="nil"/>
              <w:bottom w:val="single" w:sz="8" w:space="0" w:color="auto"/>
              <w:right w:val="single" w:sz="8" w:space="0" w:color="auto"/>
            </w:tcBorders>
            <w:shd w:val="clear" w:color="auto" w:fill="auto"/>
            <w:vAlign w:val="center"/>
          </w:tcPr>
          <w:p w14:paraId="6AFB2A10" w14:textId="6E53D3F7"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42.045</w:t>
            </w:r>
          </w:p>
        </w:tc>
        <w:tc>
          <w:tcPr>
            <w:tcW w:w="1205" w:type="dxa"/>
            <w:tcBorders>
              <w:top w:val="nil"/>
              <w:left w:val="nil"/>
              <w:bottom w:val="single" w:sz="8" w:space="0" w:color="auto"/>
              <w:right w:val="single" w:sz="8" w:space="0" w:color="auto"/>
            </w:tcBorders>
            <w:shd w:val="clear" w:color="auto" w:fill="auto"/>
            <w:vAlign w:val="center"/>
          </w:tcPr>
          <w:p w14:paraId="4089980E" w14:textId="20F79AFA"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42.045</w:t>
            </w:r>
          </w:p>
        </w:tc>
      </w:tr>
      <w:tr w:rsidR="001C7053" w:rsidRPr="001C7053" w14:paraId="320153F1" w14:textId="77777777" w:rsidTr="006067B9">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160110B" w14:textId="40C55C5A" w:rsidR="001C7053" w:rsidRPr="001C7053" w:rsidRDefault="006067B9" w:rsidP="006067B9">
            <w:pPr>
              <w:spacing w:after="0" w:line="240" w:lineRule="auto"/>
              <w:rPr>
                <w:rFonts w:cs="Arial"/>
                <w:b/>
                <w:bCs/>
                <w:color w:val="000000"/>
                <w:szCs w:val="24"/>
                <w:lang w:eastAsia="en-GB"/>
              </w:rPr>
            </w:pPr>
            <w:r>
              <w:rPr>
                <w:rFonts w:cs="Arial"/>
                <w:b/>
                <w:bCs/>
                <w:color w:val="000000"/>
                <w:szCs w:val="24"/>
                <w:lang w:eastAsia="en-GB"/>
              </w:rPr>
              <w:t>2019</w:t>
            </w:r>
            <w:r w:rsidR="001C7053" w:rsidRPr="001C7053">
              <w:rPr>
                <w:rFonts w:cs="Arial"/>
                <w:b/>
                <w:bCs/>
                <w:color w:val="000000"/>
                <w:szCs w:val="24"/>
                <w:lang w:eastAsia="en-GB"/>
              </w:rPr>
              <w:t>/2</w:t>
            </w:r>
            <w:r>
              <w:rPr>
                <w:rFonts w:cs="Arial"/>
                <w:b/>
                <w:bCs/>
                <w:color w:val="000000"/>
                <w:szCs w:val="24"/>
                <w:lang w:eastAsia="en-GB"/>
              </w:rPr>
              <w:t>0</w:t>
            </w:r>
            <w:r w:rsidR="001C7053" w:rsidRPr="001C7053">
              <w:rPr>
                <w:rFonts w:cs="Arial"/>
                <w:b/>
                <w:bCs/>
                <w:color w:val="000000"/>
                <w:szCs w:val="24"/>
                <w:lang w:eastAsia="en-GB"/>
              </w:rPr>
              <w:t xml:space="preserve"> (£m)</w:t>
            </w:r>
          </w:p>
        </w:tc>
        <w:tc>
          <w:tcPr>
            <w:tcW w:w="1204" w:type="dxa"/>
            <w:tcBorders>
              <w:top w:val="nil"/>
              <w:left w:val="nil"/>
              <w:bottom w:val="single" w:sz="8" w:space="0" w:color="auto"/>
              <w:right w:val="single" w:sz="8" w:space="0" w:color="auto"/>
            </w:tcBorders>
            <w:shd w:val="clear" w:color="auto" w:fill="auto"/>
            <w:vAlign w:val="center"/>
          </w:tcPr>
          <w:p w14:paraId="6D7ABC6B" w14:textId="799EA6B4"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189B4484" w14:textId="56012031"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26.365</w:t>
            </w:r>
          </w:p>
        </w:tc>
        <w:tc>
          <w:tcPr>
            <w:tcW w:w="1205" w:type="dxa"/>
            <w:tcBorders>
              <w:top w:val="nil"/>
              <w:left w:val="nil"/>
              <w:bottom w:val="single" w:sz="8" w:space="0" w:color="auto"/>
              <w:right w:val="single" w:sz="8" w:space="0" w:color="auto"/>
            </w:tcBorders>
            <w:shd w:val="clear" w:color="auto" w:fill="auto"/>
            <w:vAlign w:val="center"/>
          </w:tcPr>
          <w:p w14:paraId="17A0484F" w14:textId="043CDA8F"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26.365</w:t>
            </w:r>
          </w:p>
        </w:tc>
        <w:tc>
          <w:tcPr>
            <w:tcW w:w="1205" w:type="dxa"/>
            <w:tcBorders>
              <w:top w:val="nil"/>
              <w:left w:val="nil"/>
              <w:bottom w:val="single" w:sz="8" w:space="0" w:color="auto"/>
              <w:right w:val="single" w:sz="8" w:space="0" w:color="auto"/>
            </w:tcBorders>
            <w:shd w:val="clear" w:color="auto" w:fill="auto"/>
            <w:vAlign w:val="center"/>
          </w:tcPr>
          <w:p w14:paraId="7B02B5B1" w14:textId="2D9962DD"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26.365</w:t>
            </w:r>
          </w:p>
        </w:tc>
      </w:tr>
      <w:tr w:rsidR="001C7053" w:rsidRPr="001C7053" w14:paraId="21EBB064" w14:textId="77777777" w:rsidTr="006067B9">
        <w:trPr>
          <w:trHeight w:val="43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7FE1C24" w14:textId="086FD8AF" w:rsidR="001C7053" w:rsidRPr="001C7053" w:rsidRDefault="006067B9" w:rsidP="001C7053">
            <w:pPr>
              <w:spacing w:after="0" w:line="240" w:lineRule="auto"/>
              <w:rPr>
                <w:rFonts w:cs="Arial"/>
                <w:b/>
                <w:bCs/>
                <w:color w:val="000000"/>
                <w:szCs w:val="24"/>
                <w:lang w:eastAsia="en-GB"/>
              </w:rPr>
            </w:pPr>
            <w:r>
              <w:rPr>
                <w:rFonts w:cs="Arial"/>
                <w:b/>
                <w:bCs/>
                <w:color w:val="000000"/>
                <w:szCs w:val="24"/>
                <w:lang w:eastAsia="en-GB"/>
              </w:rPr>
              <w:t>2020/21</w:t>
            </w:r>
            <w:r w:rsidR="001C7053" w:rsidRPr="001C7053">
              <w:rPr>
                <w:rFonts w:cs="Arial"/>
                <w:b/>
                <w:bCs/>
                <w:color w:val="000000"/>
                <w:szCs w:val="24"/>
                <w:lang w:eastAsia="en-GB"/>
              </w:rPr>
              <w:t xml:space="preserve"> (£m)</w:t>
            </w:r>
          </w:p>
        </w:tc>
        <w:tc>
          <w:tcPr>
            <w:tcW w:w="1204" w:type="dxa"/>
            <w:tcBorders>
              <w:top w:val="nil"/>
              <w:left w:val="nil"/>
              <w:bottom w:val="single" w:sz="8" w:space="0" w:color="auto"/>
              <w:right w:val="single" w:sz="8" w:space="0" w:color="auto"/>
            </w:tcBorders>
            <w:shd w:val="clear" w:color="auto" w:fill="auto"/>
            <w:vAlign w:val="center"/>
          </w:tcPr>
          <w:p w14:paraId="6A8A77E1" w14:textId="0A67A444"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5D25D4AB" w14:textId="3968F40F"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0F5C8D79" w14:textId="707273A0"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49.728</w:t>
            </w:r>
          </w:p>
        </w:tc>
        <w:tc>
          <w:tcPr>
            <w:tcW w:w="1205" w:type="dxa"/>
            <w:tcBorders>
              <w:top w:val="nil"/>
              <w:left w:val="nil"/>
              <w:bottom w:val="single" w:sz="8" w:space="0" w:color="auto"/>
              <w:right w:val="single" w:sz="8" w:space="0" w:color="auto"/>
            </w:tcBorders>
            <w:shd w:val="clear" w:color="auto" w:fill="auto"/>
            <w:vAlign w:val="center"/>
          </w:tcPr>
          <w:p w14:paraId="6CAC1D44" w14:textId="3CA273A5"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49.728</w:t>
            </w:r>
          </w:p>
        </w:tc>
      </w:tr>
      <w:tr w:rsidR="001C7053" w:rsidRPr="001C7053" w14:paraId="69215C49" w14:textId="77777777" w:rsidTr="006067B9">
        <w:trPr>
          <w:trHeight w:val="40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9DABB60" w14:textId="69DB683E" w:rsidR="001C7053" w:rsidRPr="001C7053" w:rsidRDefault="006067B9" w:rsidP="001C7053">
            <w:pPr>
              <w:spacing w:after="0" w:line="240" w:lineRule="auto"/>
              <w:rPr>
                <w:rFonts w:cs="Arial"/>
                <w:b/>
                <w:bCs/>
                <w:color w:val="000000"/>
                <w:szCs w:val="24"/>
                <w:lang w:eastAsia="en-GB"/>
              </w:rPr>
            </w:pPr>
            <w:r>
              <w:rPr>
                <w:rFonts w:cs="Arial"/>
                <w:b/>
                <w:bCs/>
                <w:color w:val="000000"/>
                <w:szCs w:val="24"/>
                <w:lang w:eastAsia="en-GB"/>
              </w:rPr>
              <w:t>2021/22</w:t>
            </w:r>
            <w:r w:rsidR="001C7053" w:rsidRPr="001C7053">
              <w:rPr>
                <w:rFonts w:cs="Arial"/>
                <w:b/>
                <w:bCs/>
                <w:color w:val="000000"/>
                <w:szCs w:val="24"/>
                <w:lang w:eastAsia="en-GB"/>
              </w:rPr>
              <w:t xml:space="preserve"> (£m)</w:t>
            </w:r>
          </w:p>
        </w:tc>
        <w:tc>
          <w:tcPr>
            <w:tcW w:w="1204" w:type="dxa"/>
            <w:tcBorders>
              <w:top w:val="nil"/>
              <w:left w:val="nil"/>
              <w:bottom w:val="single" w:sz="8" w:space="0" w:color="auto"/>
              <w:right w:val="single" w:sz="8" w:space="0" w:color="auto"/>
            </w:tcBorders>
            <w:shd w:val="clear" w:color="auto" w:fill="auto"/>
            <w:vAlign w:val="center"/>
          </w:tcPr>
          <w:p w14:paraId="075343EB" w14:textId="7495A0DD"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20615362" w14:textId="44831A52"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50C8953E" w14:textId="645FA67E" w:rsidR="001C7053" w:rsidRPr="001C7053" w:rsidRDefault="001C7053" w:rsidP="001C7053">
            <w:pPr>
              <w:spacing w:after="0" w:line="240" w:lineRule="auto"/>
              <w:jc w:val="right"/>
              <w:rPr>
                <w:rFonts w:cs="Arial"/>
                <w:color w:val="000000"/>
                <w:szCs w:val="24"/>
                <w:lang w:eastAsia="en-GB"/>
              </w:rPr>
            </w:pPr>
          </w:p>
        </w:tc>
        <w:tc>
          <w:tcPr>
            <w:tcW w:w="1205" w:type="dxa"/>
            <w:tcBorders>
              <w:top w:val="nil"/>
              <w:left w:val="nil"/>
              <w:bottom w:val="single" w:sz="8" w:space="0" w:color="auto"/>
              <w:right w:val="single" w:sz="8" w:space="0" w:color="auto"/>
            </w:tcBorders>
            <w:shd w:val="clear" w:color="auto" w:fill="auto"/>
            <w:vAlign w:val="center"/>
          </w:tcPr>
          <w:p w14:paraId="3A123FAB" w14:textId="3F3B5D67" w:rsidR="001C7053" w:rsidRPr="001C7053" w:rsidRDefault="006067B9" w:rsidP="001C7053">
            <w:pPr>
              <w:spacing w:after="0" w:line="240" w:lineRule="auto"/>
              <w:jc w:val="right"/>
              <w:rPr>
                <w:rFonts w:cs="Arial"/>
                <w:color w:val="000000"/>
                <w:szCs w:val="24"/>
                <w:lang w:eastAsia="en-GB"/>
              </w:rPr>
            </w:pPr>
            <w:r>
              <w:rPr>
                <w:rFonts w:cs="Arial"/>
                <w:color w:val="000000"/>
                <w:szCs w:val="24"/>
                <w:lang w:eastAsia="en-GB"/>
              </w:rPr>
              <w:t>25.946</w:t>
            </w:r>
          </w:p>
        </w:tc>
      </w:tr>
      <w:tr w:rsidR="001C7053" w:rsidRPr="001C7053" w14:paraId="0BB5FAA0" w14:textId="77777777" w:rsidTr="006067B9">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14:paraId="3FDE3C34" w14:textId="77777777" w:rsidR="001C7053" w:rsidRPr="001C7053" w:rsidRDefault="001C7053" w:rsidP="001C7053">
            <w:pPr>
              <w:spacing w:after="0" w:line="240" w:lineRule="auto"/>
              <w:rPr>
                <w:rFonts w:cs="Arial"/>
                <w:b/>
                <w:bCs/>
                <w:color w:val="000000"/>
                <w:szCs w:val="24"/>
                <w:lang w:eastAsia="en-GB"/>
              </w:rPr>
            </w:pPr>
            <w:r w:rsidRPr="001C7053">
              <w:rPr>
                <w:rFonts w:cs="Arial"/>
                <w:b/>
                <w:bCs/>
                <w:color w:val="000000"/>
                <w:szCs w:val="24"/>
                <w:lang w:eastAsia="en-GB"/>
              </w:rPr>
              <w:t xml:space="preserve">Total </w:t>
            </w:r>
          </w:p>
        </w:tc>
        <w:tc>
          <w:tcPr>
            <w:tcW w:w="1204" w:type="dxa"/>
            <w:tcBorders>
              <w:top w:val="nil"/>
              <w:left w:val="nil"/>
              <w:bottom w:val="single" w:sz="8" w:space="0" w:color="auto"/>
              <w:right w:val="single" w:sz="8" w:space="0" w:color="auto"/>
            </w:tcBorders>
            <w:shd w:val="clear" w:color="000000" w:fill="BFBFBF"/>
            <w:vAlign w:val="center"/>
          </w:tcPr>
          <w:p w14:paraId="4BB86F02" w14:textId="637B17CD" w:rsidR="001C7053" w:rsidRPr="001C7053" w:rsidRDefault="006067B9" w:rsidP="001C7053">
            <w:pPr>
              <w:spacing w:after="0" w:line="240" w:lineRule="auto"/>
              <w:jc w:val="right"/>
              <w:rPr>
                <w:rFonts w:cs="Arial"/>
                <w:b/>
                <w:bCs/>
                <w:color w:val="000000"/>
                <w:szCs w:val="24"/>
                <w:lang w:eastAsia="en-GB"/>
              </w:rPr>
            </w:pPr>
            <w:r>
              <w:rPr>
                <w:rFonts w:cs="Arial"/>
                <w:b/>
                <w:bCs/>
                <w:color w:val="000000"/>
                <w:szCs w:val="24"/>
                <w:lang w:eastAsia="en-GB"/>
              </w:rPr>
              <w:t>42.045</w:t>
            </w:r>
          </w:p>
        </w:tc>
        <w:tc>
          <w:tcPr>
            <w:tcW w:w="1205" w:type="dxa"/>
            <w:tcBorders>
              <w:top w:val="nil"/>
              <w:left w:val="nil"/>
              <w:bottom w:val="single" w:sz="8" w:space="0" w:color="auto"/>
              <w:right w:val="single" w:sz="8" w:space="0" w:color="auto"/>
            </w:tcBorders>
            <w:shd w:val="clear" w:color="000000" w:fill="BFBFBF"/>
            <w:vAlign w:val="center"/>
          </w:tcPr>
          <w:p w14:paraId="7D876A94" w14:textId="044CF615" w:rsidR="001C7053" w:rsidRPr="001C7053" w:rsidRDefault="006067B9" w:rsidP="001C7053">
            <w:pPr>
              <w:spacing w:after="0" w:line="240" w:lineRule="auto"/>
              <w:jc w:val="right"/>
              <w:rPr>
                <w:rFonts w:cs="Arial"/>
                <w:b/>
                <w:bCs/>
                <w:color w:val="000000"/>
                <w:szCs w:val="24"/>
                <w:lang w:eastAsia="en-GB"/>
              </w:rPr>
            </w:pPr>
            <w:r>
              <w:rPr>
                <w:rFonts w:cs="Arial"/>
                <w:b/>
                <w:bCs/>
                <w:color w:val="000000"/>
                <w:szCs w:val="24"/>
                <w:lang w:eastAsia="en-GB"/>
              </w:rPr>
              <w:t>68.410</w:t>
            </w:r>
          </w:p>
        </w:tc>
        <w:tc>
          <w:tcPr>
            <w:tcW w:w="1205" w:type="dxa"/>
            <w:tcBorders>
              <w:top w:val="nil"/>
              <w:left w:val="nil"/>
              <w:bottom w:val="single" w:sz="8" w:space="0" w:color="auto"/>
              <w:right w:val="single" w:sz="8" w:space="0" w:color="auto"/>
            </w:tcBorders>
            <w:shd w:val="clear" w:color="000000" w:fill="BFBFBF"/>
            <w:vAlign w:val="center"/>
          </w:tcPr>
          <w:p w14:paraId="4F109B36" w14:textId="1789389B" w:rsidR="001C7053" w:rsidRPr="001C7053" w:rsidRDefault="006067B9" w:rsidP="001C7053">
            <w:pPr>
              <w:spacing w:after="0" w:line="240" w:lineRule="auto"/>
              <w:jc w:val="right"/>
              <w:rPr>
                <w:rFonts w:cs="Arial"/>
                <w:b/>
                <w:bCs/>
                <w:color w:val="000000"/>
                <w:szCs w:val="24"/>
                <w:lang w:eastAsia="en-GB"/>
              </w:rPr>
            </w:pPr>
            <w:r>
              <w:rPr>
                <w:rFonts w:cs="Arial"/>
                <w:b/>
                <w:bCs/>
                <w:color w:val="000000"/>
                <w:szCs w:val="24"/>
                <w:lang w:eastAsia="en-GB"/>
              </w:rPr>
              <w:t>118.138</w:t>
            </w:r>
          </w:p>
        </w:tc>
        <w:tc>
          <w:tcPr>
            <w:tcW w:w="1205" w:type="dxa"/>
            <w:tcBorders>
              <w:top w:val="nil"/>
              <w:left w:val="nil"/>
              <w:bottom w:val="single" w:sz="8" w:space="0" w:color="auto"/>
              <w:right w:val="single" w:sz="8" w:space="0" w:color="auto"/>
            </w:tcBorders>
            <w:shd w:val="clear" w:color="000000" w:fill="BFBFBF"/>
            <w:vAlign w:val="center"/>
          </w:tcPr>
          <w:p w14:paraId="4B1F52BD" w14:textId="701FAB2E" w:rsidR="001C7053" w:rsidRPr="001C7053" w:rsidRDefault="004D5FE4" w:rsidP="001C7053">
            <w:pPr>
              <w:spacing w:after="0" w:line="240" w:lineRule="auto"/>
              <w:jc w:val="right"/>
              <w:rPr>
                <w:rFonts w:cs="Arial"/>
                <w:b/>
                <w:bCs/>
                <w:color w:val="000000"/>
                <w:szCs w:val="24"/>
                <w:lang w:eastAsia="en-GB"/>
              </w:rPr>
            </w:pPr>
            <w:r>
              <w:rPr>
                <w:rFonts w:cs="Arial"/>
                <w:b/>
                <w:bCs/>
                <w:color w:val="000000"/>
                <w:szCs w:val="24"/>
                <w:lang w:eastAsia="en-GB"/>
              </w:rPr>
              <w:t>144.084</w:t>
            </w:r>
          </w:p>
        </w:tc>
      </w:tr>
    </w:tbl>
    <w:p w14:paraId="560B6DB9" w14:textId="77777777" w:rsidR="001C7053" w:rsidRPr="00DE45C1" w:rsidRDefault="001C7053" w:rsidP="004321DB">
      <w:pPr>
        <w:spacing w:after="0"/>
        <w:jc w:val="both"/>
        <w:rPr>
          <w:rFonts w:cs="Arial"/>
          <w:b/>
          <w:szCs w:val="24"/>
          <w:highlight w:val="yellow"/>
          <w:u w:val="single"/>
        </w:rPr>
      </w:pPr>
    </w:p>
    <w:p w14:paraId="2A091ABC" w14:textId="50819912" w:rsidR="00537E10" w:rsidRPr="001C7053" w:rsidRDefault="001D4931" w:rsidP="004321DB">
      <w:pPr>
        <w:spacing w:after="0"/>
        <w:jc w:val="both"/>
        <w:rPr>
          <w:rFonts w:cs="Arial"/>
          <w:szCs w:val="24"/>
          <w:highlight w:val="yellow"/>
        </w:rPr>
      </w:pPr>
      <w:r w:rsidRPr="001C7053">
        <w:rPr>
          <w:rFonts w:cs="Arial"/>
          <w:szCs w:val="24"/>
        </w:rPr>
        <w:t xml:space="preserve">During </w:t>
      </w:r>
      <w:r w:rsidR="001C7053" w:rsidRPr="001C7053">
        <w:rPr>
          <w:rFonts w:cs="Arial"/>
          <w:szCs w:val="24"/>
        </w:rPr>
        <w:t>201</w:t>
      </w:r>
      <w:r w:rsidR="004D5FE4">
        <w:rPr>
          <w:rFonts w:cs="Arial"/>
          <w:szCs w:val="24"/>
        </w:rPr>
        <w:t>8/19</w:t>
      </w:r>
      <w:r w:rsidR="001C7053" w:rsidRPr="001C7053">
        <w:rPr>
          <w:rFonts w:cs="Arial"/>
          <w:szCs w:val="24"/>
        </w:rPr>
        <w:t xml:space="preserve"> c</w:t>
      </w:r>
      <w:r w:rsidRPr="001C7053">
        <w:rPr>
          <w:rFonts w:cs="Arial"/>
          <w:szCs w:val="24"/>
        </w:rPr>
        <w:t xml:space="preserve">abinet </w:t>
      </w:r>
      <w:r w:rsidRPr="004D5FE4">
        <w:rPr>
          <w:rFonts w:cs="Arial"/>
          <w:szCs w:val="24"/>
        </w:rPr>
        <w:t xml:space="preserve">has received a number of </w:t>
      </w:r>
      <w:r w:rsidR="00B54A96" w:rsidRPr="004D5FE4">
        <w:rPr>
          <w:rFonts w:cs="Arial"/>
          <w:szCs w:val="24"/>
        </w:rPr>
        <w:t xml:space="preserve">MTFS </w:t>
      </w:r>
      <w:r w:rsidRPr="004D5FE4">
        <w:rPr>
          <w:rFonts w:cs="Arial"/>
          <w:szCs w:val="24"/>
        </w:rPr>
        <w:t>reports</w:t>
      </w:r>
      <w:r w:rsidR="00FF313F" w:rsidRPr="004D5FE4">
        <w:rPr>
          <w:rFonts w:cs="Arial"/>
          <w:szCs w:val="24"/>
        </w:rPr>
        <w:t xml:space="preserve"> </w:t>
      </w:r>
      <w:r w:rsidRPr="004D5FE4">
        <w:rPr>
          <w:rFonts w:cs="Arial"/>
          <w:szCs w:val="24"/>
        </w:rPr>
        <w:t>that have</w:t>
      </w:r>
      <w:r w:rsidR="00087F0C" w:rsidRPr="004D5FE4">
        <w:rPr>
          <w:rFonts w:cs="Arial"/>
          <w:szCs w:val="24"/>
        </w:rPr>
        <w:t xml:space="preserve"> </w:t>
      </w:r>
      <w:r w:rsidR="003E4DC9" w:rsidRPr="004D5FE4">
        <w:rPr>
          <w:rFonts w:cs="Arial"/>
          <w:szCs w:val="24"/>
        </w:rPr>
        <w:t>identified</w:t>
      </w:r>
      <w:r w:rsidR="006B43E1" w:rsidRPr="004D5FE4">
        <w:rPr>
          <w:rFonts w:cs="Arial"/>
          <w:szCs w:val="24"/>
        </w:rPr>
        <w:t xml:space="preserve"> further changes to the expected level of spending and in the anticipated level of </w:t>
      </w:r>
      <w:r w:rsidR="006B43E1" w:rsidRPr="00785D24">
        <w:rPr>
          <w:rFonts w:cs="Arial"/>
          <w:szCs w:val="24"/>
        </w:rPr>
        <w:t>resources available for that period</w:t>
      </w:r>
      <w:r w:rsidR="00B3161B">
        <w:rPr>
          <w:rFonts w:cs="Arial"/>
          <w:szCs w:val="24"/>
        </w:rPr>
        <w:t xml:space="preserve"> including an additional year of 2022/23</w:t>
      </w:r>
      <w:r w:rsidR="006B43E1" w:rsidRPr="00785D24">
        <w:rPr>
          <w:rFonts w:cs="Arial"/>
          <w:szCs w:val="24"/>
        </w:rPr>
        <w:t>.</w:t>
      </w:r>
      <w:r w:rsidR="00B54A96" w:rsidRPr="00785D24">
        <w:rPr>
          <w:rFonts w:cs="Arial"/>
          <w:szCs w:val="24"/>
        </w:rPr>
        <w:t xml:space="preserve"> </w:t>
      </w:r>
      <w:r w:rsidR="002E691D" w:rsidRPr="00785D24">
        <w:rPr>
          <w:rFonts w:cs="Arial"/>
          <w:szCs w:val="24"/>
        </w:rPr>
        <w:t xml:space="preserve">The latest MTFS </w:t>
      </w:r>
      <w:r w:rsidR="00517D25" w:rsidRPr="00785D24">
        <w:rPr>
          <w:rFonts w:cs="Arial"/>
          <w:szCs w:val="24"/>
        </w:rPr>
        <w:t xml:space="preserve">shows </w:t>
      </w:r>
      <w:r w:rsidR="002E691D" w:rsidRPr="00785D24">
        <w:rPr>
          <w:rFonts w:cs="Arial"/>
          <w:szCs w:val="24"/>
        </w:rPr>
        <w:t>a</w:t>
      </w:r>
      <w:r w:rsidR="006835A9" w:rsidRPr="00785D24">
        <w:rPr>
          <w:rFonts w:cs="Arial"/>
          <w:szCs w:val="24"/>
        </w:rPr>
        <w:t xml:space="preserve"> revised spending gap of</w:t>
      </w:r>
      <w:r w:rsidR="004772E8" w:rsidRPr="00785D24">
        <w:rPr>
          <w:rFonts w:cs="Arial"/>
          <w:szCs w:val="24"/>
        </w:rPr>
        <w:t xml:space="preserve"> £</w:t>
      </w:r>
      <w:r w:rsidR="00785D24" w:rsidRPr="00785D24">
        <w:rPr>
          <w:rFonts w:cs="Arial"/>
          <w:szCs w:val="24"/>
        </w:rPr>
        <w:t>47.326</w:t>
      </w:r>
      <w:r w:rsidR="00517D25" w:rsidRPr="00785D24">
        <w:rPr>
          <w:rFonts w:cs="Arial"/>
          <w:szCs w:val="24"/>
        </w:rPr>
        <w:t>m</w:t>
      </w:r>
      <w:r w:rsidR="00527478" w:rsidRPr="00785D24">
        <w:rPr>
          <w:rFonts w:cs="Arial"/>
          <w:szCs w:val="24"/>
        </w:rPr>
        <w:t>. The profile</w:t>
      </w:r>
      <w:r w:rsidR="00527478" w:rsidRPr="004D5FE4">
        <w:rPr>
          <w:rFonts w:cs="Arial"/>
          <w:szCs w:val="24"/>
        </w:rPr>
        <w:t xml:space="preserve"> of the funding gap is shown </w:t>
      </w:r>
      <w:r w:rsidR="00515C87">
        <w:rPr>
          <w:rFonts w:cs="Arial"/>
          <w:szCs w:val="24"/>
        </w:rPr>
        <w:t>in t</w:t>
      </w:r>
      <w:r w:rsidR="00BA4717" w:rsidRPr="004D5FE4">
        <w:rPr>
          <w:rFonts w:cs="Arial"/>
          <w:szCs w:val="24"/>
        </w:rPr>
        <w:t>able 2</w:t>
      </w:r>
      <w:r w:rsidR="00527478" w:rsidRPr="004D5FE4">
        <w:rPr>
          <w:rFonts w:cs="Arial"/>
          <w:szCs w:val="24"/>
        </w:rPr>
        <w:t>:</w:t>
      </w:r>
    </w:p>
    <w:p w14:paraId="0E46F1C9" w14:textId="77777777" w:rsidR="001C7053" w:rsidRDefault="001C7053" w:rsidP="004321DB">
      <w:pPr>
        <w:spacing w:after="0"/>
        <w:jc w:val="both"/>
        <w:rPr>
          <w:rFonts w:cs="Arial"/>
          <w:szCs w:val="24"/>
          <w:highlight w:val="yellow"/>
        </w:rPr>
      </w:pPr>
    </w:p>
    <w:p w14:paraId="499907E4" w14:textId="77777777" w:rsidR="001C7053" w:rsidRDefault="001C7053" w:rsidP="001C7053">
      <w:pPr>
        <w:spacing w:after="0"/>
        <w:jc w:val="both"/>
        <w:rPr>
          <w:rFonts w:cs="Arial"/>
          <w:b/>
          <w:szCs w:val="24"/>
          <w:u w:val="single"/>
        </w:rPr>
      </w:pPr>
      <w:r w:rsidRPr="00DE45C1">
        <w:rPr>
          <w:rFonts w:cs="Arial"/>
          <w:b/>
          <w:szCs w:val="24"/>
          <w:u w:val="single"/>
        </w:rPr>
        <w:t>Table 2</w:t>
      </w:r>
    </w:p>
    <w:p w14:paraId="59C67890" w14:textId="77777777" w:rsidR="004D5FE4" w:rsidRDefault="004D5FE4" w:rsidP="001C7053">
      <w:pPr>
        <w:spacing w:after="0"/>
        <w:jc w:val="both"/>
        <w:rPr>
          <w:rFonts w:cs="Arial"/>
          <w:b/>
          <w:szCs w:val="24"/>
          <w:u w:val="single"/>
        </w:rPr>
      </w:pPr>
    </w:p>
    <w:tbl>
      <w:tblPr>
        <w:tblW w:w="9062" w:type="dxa"/>
        <w:tblLook w:val="04A0" w:firstRow="1" w:lastRow="0" w:firstColumn="1" w:lastColumn="0" w:noHBand="0" w:noVBand="1"/>
      </w:tblPr>
      <w:tblGrid>
        <w:gridCol w:w="4952"/>
        <w:gridCol w:w="1027"/>
        <w:gridCol w:w="1028"/>
        <w:gridCol w:w="1027"/>
        <w:gridCol w:w="1028"/>
      </w:tblGrid>
      <w:tr w:rsidR="00785D24" w:rsidRPr="00785D24" w14:paraId="68B0F490" w14:textId="77777777" w:rsidTr="00785D24">
        <w:trPr>
          <w:trHeight w:val="480"/>
        </w:trPr>
        <w:tc>
          <w:tcPr>
            <w:tcW w:w="495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5FED5F6"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Aggregated Funding Gap</w:t>
            </w:r>
          </w:p>
        </w:tc>
        <w:tc>
          <w:tcPr>
            <w:tcW w:w="1027" w:type="dxa"/>
            <w:tcBorders>
              <w:top w:val="single" w:sz="8" w:space="0" w:color="auto"/>
              <w:left w:val="nil"/>
              <w:bottom w:val="single" w:sz="8" w:space="0" w:color="auto"/>
              <w:right w:val="single" w:sz="8" w:space="0" w:color="auto"/>
            </w:tcBorders>
            <w:shd w:val="clear" w:color="000000" w:fill="BFBFBF"/>
            <w:vAlign w:val="center"/>
            <w:hideMark/>
          </w:tcPr>
          <w:p w14:paraId="2C632B3D"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 </w:t>
            </w:r>
          </w:p>
        </w:tc>
        <w:tc>
          <w:tcPr>
            <w:tcW w:w="1028" w:type="dxa"/>
            <w:tcBorders>
              <w:top w:val="single" w:sz="8" w:space="0" w:color="auto"/>
              <w:left w:val="nil"/>
              <w:bottom w:val="single" w:sz="8" w:space="0" w:color="auto"/>
              <w:right w:val="single" w:sz="8" w:space="0" w:color="auto"/>
            </w:tcBorders>
            <w:shd w:val="clear" w:color="000000" w:fill="BFBFBF"/>
            <w:vAlign w:val="center"/>
            <w:hideMark/>
          </w:tcPr>
          <w:p w14:paraId="737E9A13"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 </w:t>
            </w:r>
          </w:p>
        </w:tc>
        <w:tc>
          <w:tcPr>
            <w:tcW w:w="1027" w:type="dxa"/>
            <w:tcBorders>
              <w:top w:val="single" w:sz="8" w:space="0" w:color="auto"/>
              <w:left w:val="nil"/>
              <w:bottom w:val="single" w:sz="8" w:space="0" w:color="auto"/>
              <w:right w:val="single" w:sz="8" w:space="0" w:color="auto"/>
            </w:tcBorders>
            <w:shd w:val="clear" w:color="000000" w:fill="BFBFBF"/>
            <w:vAlign w:val="center"/>
            <w:hideMark/>
          </w:tcPr>
          <w:p w14:paraId="5AE9BFB7"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 </w:t>
            </w:r>
          </w:p>
        </w:tc>
        <w:tc>
          <w:tcPr>
            <w:tcW w:w="1028" w:type="dxa"/>
            <w:tcBorders>
              <w:top w:val="single" w:sz="8" w:space="0" w:color="auto"/>
              <w:left w:val="nil"/>
              <w:bottom w:val="single" w:sz="8" w:space="0" w:color="auto"/>
              <w:right w:val="single" w:sz="8" w:space="0" w:color="auto"/>
            </w:tcBorders>
            <w:shd w:val="clear" w:color="000000" w:fill="BFBFBF"/>
            <w:vAlign w:val="center"/>
            <w:hideMark/>
          </w:tcPr>
          <w:p w14:paraId="546CB036"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 </w:t>
            </w:r>
          </w:p>
        </w:tc>
      </w:tr>
      <w:tr w:rsidR="00785D24" w:rsidRPr="00785D24" w14:paraId="0202EDF4" w14:textId="77777777" w:rsidTr="00785D24">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67A31632"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2019/20 (£m)</w:t>
            </w:r>
          </w:p>
        </w:tc>
        <w:tc>
          <w:tcPr>
            <w:tcW w:w="1027" w:type="dxa"/>
            <w:tcBorders>
              <w:top w:val="nil"/>
              <w:left w:val="nil"/>
              <w:bottom w:val="single" w:sz="8" w:space="0" w:color="auto"/>
              <w:right w:val="single" w:sz="8" w:space="0" w:color="auto"/>
            </w:tcBorders>
            <w:shd w:val="clear" w:color="auto" w:fill="auto"/>
            <w:vAlign w:val="center"/>
            <w:hideMark/>
          </w:tcPr>
          <w:p w14:paraId="76976CDA"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10.245</w:t>
            </w:r>
          </w:p>
        </w:tc>
        <w:tc>
          <w:tcPr>
            <w:tcW w:w="1028" w:type="dxa"/>
            <w:tcBorders>
              <w:top w:val="nil"/>
              <w:left w:val="nil"/>
              <w:bottom w:val="single" w:sz="8" w:space="0" w:color="auto"/>
              <w:right w:val="single" w:sz="8" w:space="0" w:color="auto"/>
            </w:tcBorders>
            <w:shd w:val="clear" w:color="auto" w:fill="auto"/>
            <w:vAlign w:val="center"/>
            <w:hideMark/>
          </w:tcPr>
          <w:p w14:paraId="2A37EE98"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10.245</w:t>
            </w:r>
          </w:p>
        </w:tc>
        <w:tc>
          <w:tcPr>
            <w:tcW w:w="1027" w:type="dxa"/>
            <w:tcBorders>
              <w:top w:val="nil"/>
              <w:left w:val="nil"/>
              <w:bottom w:val="single" w:sz="8" w:space="0" w:color="auto"/>
              <w:right w:val="single" w:sz="8" w:space="0" w:color="auto"/>
            </w:tcBorders>
            <w:shd w:val="clear" w:color="auto" w:fill="auto"/>
            <w:vAlign w:val="center"/>
            <w:hideMark/>
          </w:tcPr>
          <w:p w14:paraId="3EC8F963"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10.245</w:t>
            </w:r>
          </w:p>
        </w:tc>
        <w:tc>
          <w:tcPr>
            <w:tcW w:w="1028" w:type="dxa"/>
            <w:tcBorders>
              <w:top w:val="nil"/>
              <w:left w:val="nil"/>
              <w:bottom w:val="single" w:sz="8" w:space="0" w:color="auto"/>
              <w:right w:val="single" w:sz="8" w:space="0" w:color="auto"/>
            </w:tcBorders>
            <w:shd w:val="clear" w:color="auto" w:fill="auto"/>
            <w:vAlign w:val="center"/>
            <w:hideMark/>
          </w:tcPr>
          <w:p w14:paraId="3F141F56"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10.245</w:t>
            </w:r>
          </w:p>
        </w:tc>
      </w:tr>
      <w:tr w:rsidR="00785D24" w:rsidRPr="00785D24" w14:paraId="2FFEA32B" w14:textId="77777777" w:rsidTr="00785D24">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456F5699"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2020/21 (£m)</w:t>
            </w:r>
          </w:p>
        </w:tc>
        <w:tc>
          <w:tcPr>
            <w:tcW w:w="1027" w:type="dxa"/>
            <w:tcBorders>
              <w:top w:val="nil"/>
              <w:left w:val="nil"/>
              <w:bottom w:val="single" w:sz="8" w:space="0" w:color="auto"/>
              <w:right w:val="single" w:sz="8" w:space="0" w:color="auto"/>
            </w:tcBorders>
            <w:shd w:val="clear" w:color="auto" w:fill="auto"/>
            <w:vAlign w:val="center"/>
            <w:hideMark/>
          </w:tcPr>
          <w:p w14:paraId="5B5A04D3"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2777E9F2"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20.125</w:t>
            </w:r>
          </w:p>
        </w:tc>
        <w:tc>
          <w:tcPr>
            <w:tcW w:w="1027" w:type="dxa"/>
            <w:tcBorders>
              <w:top w:val="nil"/>
              <w:left w:val="nil"/>
              <w:bottom w:val="single" w:sz="8" w:space="0" w:color="auto"/>
              <w:right w:val="single" w:sz="8" w:space="0" w:color="auto"/>
            </w:tcBorders>
            <w:shd w:val="clear" w:color="auto" w:fill="auto"/>
            <w:vAlign w:val="center"/>
            <w:hideMark/>
          </w:tcPr>
          <w:p w14:paraId="3E56B3D8"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20.125</w:t>
            </w:r>
          </w:p>
        </w:tc>
        <w:tc>
          <w:tcPr>
            <w:tcW w:w="1028" w:type="dxa"/>
            <w:tcBorders>
              <w:top w:val="nil"/>
              <w:left w:val="nil"/>
              <w:bottom w:val="single" w:sz="8" w:space="0" w:color="auto"/>
              <w:right w:val="single" w:sz="8" w:space="0" w:color="auto"/>
            </w:tcBorders>
            <w:shd w:val="clear" w:color="auto" w:fill="auto"/>
            <w:vAlign w:val="center"/>
            <w:hideMark/>
          </w:tcPr>
          <w:p w14:paraId="1F3E3186"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20.125</w:t>
            </w:r>
          </w:p>
        </w:tc>
      </w:tr>
      <w:tr w:rsidR="00785D24" w:rsidRPr="00785D24" w14:paraId="7AD07608" w14:textId="77777777" w:rsidTr="00785D24">
        <w:trPr>
          <w:trHeight w:val="43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56C67905"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2021/22 (£m)</w:t>
            </w:r>
          </w:p>
        </w:tc>
        <w:tc>
          <w:tcPr>
            <w:tcW w:w="1027" w:type="dxa"/>
            <w:tcBorders>
              <w:top w:val="nil"/>
              <w:left w:val="nil"/>
              <w:bottom w:val="single" w:sz="8" w:space="0" w:color="auto"/>
              <w:right w:val="single" w:sz="8" w:space="0" w:color="auto"/>
            </w:tcBorders>
            <w:shd w:val="clear" w:color="auto" w:fill="auto"/>
            <w:vAlign w:val="center"/>
            <w:hideMark/>
          </w:tcPr>
          <w:p w14:paraId="171D8AD6"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6363FB4C"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7" w:type="dxa"/>
            <w:tcBorders>
              <w:top w:val="nil"/>
              <w:left w:val="nil"/>
              <w:bottom w:val="single" w:sz="8" w:space="0" w:color="auto"/>
              <w:right w:val="single" w:sz="8" w:space="0" w:color="auto"/>
            </w:tcBorders>
            <w:shd w:val="clear" w:color="auto" w:fill="auto"/>
            <w:vAlign w:val="center"/>
            <w:hideMark/>
          </w:tcPr>
          <w:p w14:paraId="0DAC7E5C"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5.518</w:t>
            </w:r>
          </w:p>
        </w:tc>
        <w:tc>
          <w:tcPr>
            <w:tcW w:w="1028" w:type="dxa"/>
            <w:tcBorders>
              <w:top w:val="nil"/>
              <w:left w:val="nil"/>
              <w:bottom w:val="single" w:sz="8" w:space="0" w:color="auto"/>
              <w:right w:val="single" w:sz="8" w:space="0" w:color="auto"/>
            </w:tcBorders>
            <w:shd w:val="clear" w:color="auto" w:fill="auto"/>
            <w:vAlign w:val="center"/>
            <w:hideMark/>
          </w:tcPr>
          <w:p w14:paraId="2D784A8B"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5.518</w:t>
            </w:r>
          </w:p>
        </w:tc>
      </w:tr>
      <w:tr w:rsidR="00785D24" w:rsidRPr="00785D24" w14:paraId="695261CC" w14:textId="77777777" w:rsidTr="00785D24">
        <w:trPr>
          <w:trHeight w:val="40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2A4D124F"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2022/23 (£m)</w:t>
            </w:r>
          </w:p>
        </w:tc>
        <w:tc>
          <w:tcPr>
            <w:tcW w:w="1027" w:type="dxa"/>
            <w:tcBorders>
              <w:top w:val="nil"/>
              <w:left w:val="nil"/>
              <w:bottom w:val="single" w:sz="8" w:space="0" w:color="auto"/>
              <w:right w:val="single" w:sz="8" w:space="0" w:color="auto"/>
            </w:tcBorders>
            <w:shd w:val="clear" w:color="auto" w:fill="auto"/>
            <w:vAlign w:val="center"/>
            <w:hideMark/>
          </w:tcPr>
          <w:p w14:paraId="69C42ED9"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264625FB"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7" w:type="dxa"/>
            <w:tcBorders>
              <w:top w:val="nil"/>
              <w:left w:val="nil"/>
              <w:bottom w:val="single" w:sz="8" w:space="0" w:color="auto"/>
              <w:right w:val="single" w:sz="8" w:space="0" w:color="auto"/>
            </w:tcBorders>
            <w:shd w:val="clear" w:color="auto" w:fill="auto"/>
            <w:vAlign w:val="center"/>
            <w:hideMark/>
          </w:tcPr>
          <w:p w14:paraId="6C2BDE48"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69FB50A9"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11.438</w:t>
            </w:r>
          </w:p>
        </w:tc>
      </w:tr>
      <w:tr w:rsidR="00785D24" w:rsidRPr="00785D24" w14:paraId="06560E7C" w14:textId="77777777" w:rsidTr="00785D24">
        <w:trPr>
          <w:trHeight w:val="330"/>
        </w:trPr>
        <w:tc>
          <w:tcPr>
            <w:tcW w:w="4952" w:type="dxa"/>
            <w:tcBorders>
              <w:top w:val="nil"/>
              <w:left w:val="single" w:sz="8" w:space="0" w:color="auto"/>
              <w:bottom w:val="single" w:sz="8" w:space="0" w:color="auto"/>
              <w:right w:val="single" w:sz="8" w:space="0" w:color="auto"/>
            </w:tcBorders>
            <w:shd w:val="clear" w:color="000000" w:fill="BFBFBF"/>
            <w:vAlign w:val="center"/>
            <w:hideMark/>
          </w:tcPr>
          <w:p w14:paraId="187EB95C"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 xml:space="preserve">Total </w:t>
            </w:r>
          </w:p>
        </w:tc>
        <w:tc>
          <w:tcPr>
            <w:tcW w:w="1027" w:type="dxa"/>
            <w:tcBorders>
              <w:top w:val="nil"/>
              <w:left w:val="nil"/>
              <w:bottom w:val="single" w:sz="8" w:space="0" w:color="auto"/>
              <w:right w:val="single" w:sz="8" w:space="0" w:color="auto"/>
            </w:tcBorders>
            <w:shd w:val="clear" w:color="000000" w:fill="BFBFBF"/>
            <w:vAlign w:val="center"/>
            <w:hideMark/>
          </w:tcPr>
          <w:p w14:paraId="5099C7A0"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10.245</w:t>
            </w:r>
          </w:p>
        </w:tc>
        <w:tc>
          <w:tcPr>
            <w:tcW w:w="1028" w:type="dxa"/>
            <w:tcBorders>
              <w:top w:val="nil"/>
              <w:left w:val="nil"/>
              <w:bottom w:val="single" w:sz="8" w:space="0" w:color="auto"/>
              <w:right w:val="single" w:sz="8" w:space="0" w:color="auto"/>
            </w:tcBorders>
            <w:shd w:val="clear" w:color="000000" w:fill="BFBFBF"/>
            <w:vAlign w:val="center"/>
            <w:hideMark/>
          </w:tcPr>
          <w:p w14:paraId="368C30B9"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30.370</w:t>
            </w:r>
          </w:p>
        </w:tc>
        <w:tc>
          <w:tcPr>
            <w:tcW w:w="1027" w:type="dxa"/>
            <w:tcBorders>
              <w:top w:val="nil"/>
              <w:left w:val="nil"/>
              <w:bottom w:val="single" w:sz="8" w:space="0" w:color="auto"/>
              <w:right w:val="single" w:sz="8" w:space="0" w:color="auto"/>
            </w:tcBorders>
            <w:shd w:val="clear" w:color="000000" w:fill="BFBFBF"/>
            <w:vAlign w:val="center"/>
            <w:hideMark/>
          </w:tcPr>
          <w:p w14:paraId="3B35FCC1"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35.888</w:t>
            </w:r>
          </w:p>
        </w:tc>
        <w:tc>
          <w:tcPr>
            <w:tcW w:w="1028" w:type="dxa"/>
            <w:tcBorders>
              <w:top w:val="nil"/>
              <w:left w:val="nil"/>
              <w:bottom w:val="single" w:sz="8" w:space="0" w:color="auto"/>
              <w:right w:val="single" w:sz="8" w:space="0" w:color="auto"/>
            </w:tcBorders>
            <w:shd w:val="clear" w:color="000000" w:fill="BFBFBF"/>
            <w:vAlign w:val="center"/>
            <w:hideMark/>
          </w:tcPr>
          <w:p w14:paraId="212E3FE6"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47.326</w:t>
            </w:r>
          </w:p>
        </w:tc>
      </w:tr>
      <w:tr w:rsidR="00785D24" w:rsidRPr="00785D24" w14:paraId="424567F4" w14:textId="77777777" w:rsidTr="00785D24">
        <w:trPr>
          <w:trHeight w:val="330"/>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2E7659CE"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 </w:t>
            </w:r>
          </w:p>
        </w:tc>
        <w:tc>
          <w:tcPr>
            <w:tcW w:w="1027" w:type="dxa"/>
            <w:tcBorders>
              <w:top w:val="nil"/>
              <w:left w:val="nil"/>
              <w:bottom w:val="single" w:sz="8" w:space="0" w:color="auto"/>
              <w:right w:val="single" w:sz="8" w:space="0" w:color="auto"/>
            </w:tcBorders>
            <w:shd w:val="clear" w:color="auto" w:fill="auto"/>
            <w:vAlign w:val="center"/>
            <w:hideMark/>
          </w:tcPr>
          <w:p w14:paraId="0D5FF481"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3533A2F9"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7" w:type="dxa"/>
            <w:tcBorders>
              <w:top w:val="nil"/>
              <w:left w:val="nil"/>
              <w:bottom w:val="single" w:sz="8" w:space="0" w:color="auto"/>
              <w:right w:val="single" w:sz="8" w:space="0" w:color="auto"/>
            </w:tcBorders>
            <w:shd w:val="clear" w:color="auto" w:fill="auto"/>
            <w:vAlign w:val="center"/>
            <w:hideMark/>
          </w:tcPr>
          <w:p w14:paraId="19000772"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c>
          <w:tcPr>
            <w:tcW w:w="1028" w:type="dxa"/>
            <w:tcBorders>
              <w:top w:val="nil"/>
              <w:left w:val="nil"/>
              <w:bottom w:val="single" w:sz="8" w:space="0" w:color="auto"/>
              <w:right w:val="single" w:sz="8" w:space="0" w:color="auto"/>
            </w:tcBorders>
            <w:shd w:val="clear" w:color="auto" w:fill="auto"/>
            <w:vAlign w:val="center"/>
            <w:hideMark/>
          </w:tcPr>
          <w:p w14:paraId="312A63DA"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 </w:t>
            </w:r>
          </w:p>
        </w:tc>
      </w:tr>
      <w:tr w:rsidR="00785D24" w:rsidRPr="00785D24" w14:paraId="4DEA05D3" w14:textId="77777777" w:rsidTr="00785D24">
        <w:trPr>
          <w:trHeight w:val="37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7DAF291F" w14:textId="77777777" w:rsidR="00347FF7"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Previous position (£m)</w:t>
            </w:r>
            <w:r w:rsidR="00515C87">
              <w:rPr>
                <w:rFonts w:cs="Arial"/>
                <w:b/>
                <w:bCs/>
                <w:color w:val="000000"/>
                <w:szCs w:val="24"/>
                <w:lang w:eastAsia="en-GB"/>
              </w:rPr>
              <w:t xml:space="preserve"> </w:t>
            </w:r>
          </w:p>
          <w:p w14:paraId="7BB1D999" w14:textId="43C985D2" w:rsidR="00785D24" w:rsidRPr="00785D24" w:rsidRDefault="00515C87" w:rsidP="00785D24">
            <w:pPr>
              <w:spacing w:after="0" w:line="240" w:lineRule="auto"/>
              <w:rPr>
                <w:rFonts w:cs="Arial"/>
                <w:b/>
                <w:bCs/>
                <w:color w:val="000000"/>
                <w:szCs w:val="24"/>
                <w:lang w:eastAsia="en-GB"/>
              </w:rPr>
            </w:pPr>
            <w:r>
              <w:rPr>
                <w:rFonts w:cs="Arial"/>
                <w:b/>
                <w:bCs/>
                <w:color w:val="000000"/>
                <w:szCs w:val="24"/>
                <w:lang w:eastAsia="en-GB"/>
              </w:rPr>
              <w:t>(December cabinet – Quarter 3)</w:t>
            </w:r>
          </w:p>
        </w:tc>
        <w:tc>
          <w:tcPr>
            <w:tcW w:w="1027" w:type="dxa"/>
            <w:tcBorders>
              <w:top w:val="nil"/>
              <w:left w:val="nil"/>
              <w:bottom w:val="single" w:sz="8" w:space="0" w:color="auto"/>
              <w:right w:val="single" w:sz="8" w:space="0" w:color="auto"/>
            </w:tcBorders>
            <w:shd w:val="clear" w:color="auto" w:fill="auto"/>
            <w:vAlign w:val="center"/>
            <w:hideMark/>
          </w:tcPr>
          <w:p w14:paraId="70F5BA3D"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13.446</w:t>
            </w:r>
          </w:p>
        </w:tc>
        <w:tc>
          <w:tcPr>
            <w:tcW w:w="1028" w:type="dxa"/>
            <w:tcBorders>
              <w:top w:val="nil"/>
              <w:left w:val="nil"/>
              <w:bottom w:val="single" w:sz="8" w:space="0" w:color="auto"/>
              <w:right w:val="single" w:sz="8" w:space="0" w:color="auto"/>
            </w:tcBorders>
            <w:shd w:val="clear" w:color="auto" w:fill="auto"/>
            <w:vAlign w:val="center"/>
            <w:hideMark/>
          </w:tcPr>
          <w:p w14:paraId="1DF6B983"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30.376</w:t>
            </w:r>
          </w:p>
        </w:tc>
        <w:tc>
          <w:tcPr>
            <w:tcW w:w="1027" w:type="dxa"/>
            <w:tcBorders>
              <w:top w:val="nil"/>
              <w:left w:val="nil"/>
              <w:bottom w:val="single" w:sz="8" w:space="0" w:color="auto"/>
              <w:right w:val="single" w:sz="8" w:space="0" w:color="auto"/>
            </w:tcBorders>
            <w:shd w:val="clear" w:color="auto" w:fill="auto"/>
            <w:vAlign w:val="center"/>
            <w:hideMark/>
          </w:tcPr>
          <w:p w14:paraId="1D379A1A"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35.833</w:t>
            </w:r>
          </w:p>
        </w:tc>
        <w:tc>
          <w:tcPr>
            <w:tcW w:w="1028" w:type="dxa"/>
            <w:tcBorders>
              <w:top w:val="nil"/>
              <w:left w:val="nil"/>
              <w:bottom w:val="single" w:sz="8" w:space="0" w:color="auto"/>
              <w:right w:val="single" w:sz="8" w:space="0" w:color="auto"/>
            </w:tcBorders>
            <w:shd w:val="clear" w:color="auto" w:fill="auto"/>
            <w:vAlign w:val="center"/>
            <w:hideMark/>
          </w:tcPr>
          <w:p w14:paraId="791FA42B" w14:textId="77777777" w:rsidR="00785D24" w:rsidRPr="00785D24" w:rsidRDefault="00785D24" w:rsidP="00785D24">
            <w:pPr>
              <w:spacing w:after="0" w:line="240" w:lineRule="auto"/>
              <w:jc w:val="right"/>
              <w:rPr>
                <w:rFonts w:cs="Arial"/>
                <w:color w:val="000000"/>
                <w:szCs w:val="24"/>
                <w:lang w:eastAsia="en-GB"/>
              </w:rPr>
            </w:pPr>
            <w:r w:rsidRPr="00785D24">
              <w:rPr>
                <w:rFonts w:cs="Arial"/>
                <w:color w:val="000000"/>
                <w:szCs w:val="24"/>
                <w:lang w:eastAsia="en-GB"/>
              </w:rPr>
              <w:t>47.209</w:t>
            </w:r>
          </w:p>
        </w:tc>
      </w:tr>
      <w:tr w:rsidR="00785D24" w:rsidRPr="00785D24" w14:paraId="5F6E4CC2" w14:textId="77777777" w:rsidTr="00785D24">
        <w:trPr>
          <w:trHeight w:val="360"/>
        </w:trPr>
        <w:tc>
          <w:tcPr>
            <w:tcW w:w="4952" w:type="dxa"/>
            <w:tcBorders>
              <w:top w:val="nil"/>
              <w:left w:val="single" w:sz="8" w:space="0" w:color="auto"/>
              <w:bottom w:val="single" w:sz="8" w:space="0" w:color="auto"/>
              <w:right w:val="single" w:sz="8" w:space="0" w:color="auto"/>
            </w:tcBorders>
            <w:shd w:val="clear" w:color="000000" w:fill="BFBFBF"/>
            <w:vAlign w:val="center"/>
            <w:hideMark/>
          </w:tcPr>
          <w:p w14:paraId="25EE4167" w14:textId="77777777" w:rsidR="00785D24" w:rsidRPr="00785D24" w:rsidRDefault="00785D24" w:rsidP="00785D24">
            <w:pPr>
              <w:spacing w:after="0" w:line="240" w:lineRule="auto"/>
              <w:rPr>
                <w:rFonts w:cs="Arial"/>
                <w:b/>
                <w:bCs/>
                <w:color w:val="000000"/>
                <w:szCs w:val="24"/>
                <w:lang w:eastAsia="en-GB"/>
              </w:rPr>
            </w:pPr>
            <w:r w:rsidRPr="00785D24">
              <w:rPr>
                <w:rFonts w:cs="Arial"/>
                <w:b/>
                <w:bCs/>
                <w:color w:val="000000"/>
                <w:szCs w:val="24"/>
                <w:lang w:eastAsia="en-GB"/>
              </w:rPr>
              <w:t>Variance (£m)</w:t>
            </w:r>
          </w:p>
        </w:tc>
        <w:tc>
          <w:tcPr>
            <w:tcW w:w="1027" w:type="dxa"/>
            <w:tcBorders>
              <w:top w:val="nil"/>
              <w:left w:val="nil"/>
              <w:bottom w:val="single" w:sz="8" w:space="0" w:color="auto"/>
              <w:right w:val="single" w:sz="8" w:space="0" w:color="auto"/>
            </w:tcBorders>
            <w:shd w:val="clear" w:color="000000" w:fill="BFBFBF"/>
            <w:vAlign w:val="center"/>
            <w:hideMark/>
          </w:tcPr>
          <w:p w14:paraId="404FC66A"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-3.201</w:t>
            </w:r>
          </w:p>
        </w:tc>
        <w:tc>
          <w:tcPr>
            <w:tcW w:w="1028" w:type="dxa"/>
            <w:tcBorders>
              <w:top w:val="nil"/>
              <w:left w:val="nil"/>
              <w:bottom w:val="single" w:sz="8" w:space="0" w:color="auto"/>
              <w:right w:val="single" w:sz="8" w:space="0" w:color="auto"/>
            </w:tcBorders>
            <w:shd w:val="clear" w:color="000000" w:fill="BFBFBF"/>
            <w:vAlign w:val="center"/>
            <w:hideMark/>
          </w:tcPr>
          <w:p w14:paraId="4F7B9A9C"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-0.006</w:t>
            </w:r>
          </w:p>
        </w:tc>
        <w:tc>
          <w:tcPr>
            <w:tcW w:w="1027" w:type="dxa"/>
            <w:tcBorders>
              <w:top w:val="nil"/>
              <w:left w:val="nil"/>
              <w:bottom w:val="single" w:sz="8" w:space="0" w:color="auto"/>
              <w:right w:val="single" w:sz="8" w:space="0" w:color="auto"/>
            </w:tcBorders>
            <w:shd w:val="clear" w:color="000000" w:fill="BFBFBF"/>
            <w:vAlign w:val="center"/>
            <w:hideMark/>
          </w:tcPr>
          <w:p w14:paraId="53E74529"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0.055</w:t>
            </w:r>
          </w:p>
        </w:tc>
        <w:tc>
          <w:tcPr>
            <w:tcW w:w="1028" w:type="dxa"/>
            <w:tcBorders>
              <w:top w:val="nil"/>
              <w:left w:val="nil"/>
              <w:bottom w:val="single" w:sz="8" w:space="0" w:color="auto"/>
              <w:right w:val="single" w:sz="8" w:space="0" w:color="auto"/>
            </w:tcBorders>
            <w:shd w:val="clear" w:color="000000" w:fill="BFBFBF"/>
            <w:vAlign w:val="center"/>
            <w:hideMark/>
          </w:tcPr>
          <w:p w14:paraId="6A5524B6" w14:textId="77777777" w:rsidR="00785D24" w:rsidRPr="00785D24" w:rsidRDefault="00785D24" w:rsidP="00785D24">
            <w:pPr>
              <w:spacing w:after="0" w:line="240" w:lineRule="auto"/>
              <w:jc w:val="right"/>
              <w:rPr>
                <w:rFonts w:cs="Arial"/>
                <w:b/>
                <w:bCs/>
                <w:color w:val="000000"/>
                <w:szCs w:val="24"/>
                <w:lang w:eastAsia="en-GB"/>
              </w:rPr>
            </w:pPr>
            <w:r w:rsidRPr="00785D24">
              <w:rPr>
                <w:rFonts w:cs="Arial"/>
                <w:b/>
                <w:bCs/>
                <w:color w:val="000000"/>
                <w:szCs w:val="24"/>
                <w:lang w:eastAsia="en-GB"/>
              </w:rPr>
              <w:t>0.117</w:t>
            </w:r>
          </w:p>
        </w:tc>
      </w:tr>
    </w:tbl>
    <w:p w14:paraId="2E0C15BD" w14:textId="77777777" w:rsidR="004D5FE4" w:rsidRPr="00DE45C1" w:rsidRDefault="004D5FE4" w:rsidP="001C7053">
      <w:pPr>
        <w:spacing w:after="0"/>
        <w:jc w:val="both"/>
        <w:rPr>
          <w:rFonts w:cs="Arial"/>
          <w:b/>
          <w:szCs w:val="24"/>
          <w:u w:val="single"/>
        </w:rPr>
      </w:pPr>
    </w:p>
    <w:p w14:paraId="5B6E7C3E" w14:textId="3CDCEB9A" w:rsidR="00537E10" w:rsidRPr="00C5524B" w:rsidRDefault="00537E10" w:rsidP="00BC47C1">
      <w:pPr>
        <w:tabs>
          <w:tab w:val="left" w:pos="567"/>
          <w:tab w:val="left" w:pos="1134"/>
        </w:tabs>
        <w:spacing w:after="0"/>
        <w:jc w:val="both"/>
        <w:rPr>
          <w:rFonts w:cs="Arial"/>
        </w:rPr>
      </w:pPr>
      <w:r w:rsidRPr="00C5524B">
        <w:rPr>
          <w:rFonts w:cs="Arial"/>
        </w:rPr>
        <w:t xml:space="preserve">Although the financial gap has </w:t>
      </w:r>
      <w:r w:rsidR="00C5524B">
        <w:rPr>
          <w:rFonts w:cs="Arial"/>
        </w:rPr>
        <w:t xml:space="preserve">significantly </w:t>
      </w:r>
      <w:r w:rsidRPr="00C5524B">
        <w:rPr>
          <w:rFonts w:cs="Arial"/>
        </w:rPr>
        <w:t>reduced</w:t>
      </w:r>
      <w:r w:rsidR="00E8743D" w:rsidRPr="00C5524B">
        <w:rPr>
          <w:rFonts w:cs="Arial"/>
        </w:rPr>
        <w:t>, from the £</w:t>
      </w:r>
      <w:r w:rsidR="001C7053" w:rsidRPr="00C5524B">
        <w:rPr>
          <w:rFonts w:cs="Arial"/>
        </w:rPr>
        <w:t>144.084</w:t>
      </w:r>
      <w:r w:rsidR="00E8743D" w:rsidRPr="00C5524B">
        <w:rPr>
          <w:rFonts w:cs="Arial"/>
        </w:rPr>
        <w:t>m reported last February,</w:t>
      </w:r>
      <w:r w:rsidRPr="00C5524B">
        <w:rPr>
          <w:rFonts w:cs="Arial"/>
        </w:rPr>
        <w:t xml:space="preserve"> </w:t>
      </w:r>
      <w:r w:rsidR="001C7053" w:rsidRPr="00C5524B">
        <w:rPr>
          <w:rFonts w:cs="Arial"/>
        </w:rPr>
        <w:t>the county c</w:t>
      </w:r>
      <w:r w:rsidR="008A1AB4" w:rsidRPr="00C5524B">
        <w:rPr>
          <w:rFonts w:cs="Arial"/>
        </w:rPr>
        <w:t>ouncil's budget is still facing a challenging future with savings of £</w:t>
      </w:r>
      <w:r w:rsidR="00BA746C">
        <w:rPr>
          <w:rFonts w:cs="Arial"/>
        </w:rPr>
        <w:t>120</w:t>
      </w:r>
      <w:r w:rsidR="001C7053" w:rsidRPr="00C5524B">
        <w:rPr>
          <w:rFonts w:cs="Arial"/>
        </w:rPr>
        <w:t>m to achieve as part of the 2019/20</w:t>
      </w:r>
      <w:r w:rsidR="008A1AB4" w:rsidRPr="00C5524B">
        <w:rPr>
          <w:rFonts w:cs="Arial"/>
        </w:rPr>
        <w:t xml:space="preserve"> budget</w:t>
      </w:r>
      <w:r w:rsidR="001C7053" w:rsidRPr="00C5524B">
        <w:rPr>
          <w:rFonts w:cs="Arial"/>
        </w:rPr>
        <w:t xml:space="preserve"> and beyond, with</w:t>
      </w:r>
      <w:r w:rsidR="008A1AB4" w:rsidRPr="00C5524B">
        <w:rPr>
          <w:rFonts w:cs="Arial"/>
        </w:rPr>
        <w:t xml:space="preserve"> significant additional</w:t>
      </w:r>
      <w:r w:rsidR="00A764A5" w:rsidRPr="00C5524B">
        <w:rPr>
          <w:rFonts w:cs="Arial"/>
        </w:rPr>
        <w:t xml:space="preserve"> pressures</w:t>
      </w:r>
      <w:r w:rsidR="00407446">
        <w:rPr>
          <w:rFonts w:cs="Arial"/>
        </w:rPr>
        <w:t>. These include</w:t>
      </w:r>
      <w:r w:rsidR="00A764A5" w:rsidRPr="00C5524B">
        <w:rPr>
          <w:rFonts w:cs="Arial"/>
        </w:rPr>
        <w:t xml:space="preserve"> the impact of the national</w:t>
      </w:r>
      <w:r w:rsidR="00527478" w:rsidRPr="00C5524B">
        <w:rPr>
          <w:rFonts w:cs="Arial"/>
        </w:rPr>
        <w:t xml:space="preserve"> pay award, national living wage and </w:t>
      </w:r>
      <w:r w:rsidR="008A1AB4" w:rsidRPr="00C5524B">
        <w:rPr>
          <w:rFonts w:cs="Arial"/>
        </w:rPr>
        <w:t>inflation</w:t>
      </w:r>
      <w:r w:rsidR="00A764A5" w:rsidRPr="00C5524B">
        <w:rPr>
          <w:rFonts w:cs="Arial"/>
        </w:rPr>
        <w:t>ary</w:t>
      </w:r>
      <w:r w:rsidR="00C5524B" w:rsidRPr="00C5524B">
        <w:rPr>
          <w:rFonts w:cs="Arial"/>
        </w:rPr>
        <w:t xml:space="preserve"> and demand pressures across children's s</w:t>
      </w:r>
      <w:r w:rsidR="008A1AB4" w:rsidRPr="00C5524B">
        <w:rPr>
          <w:rFonts w:cs="Arial"/>
        </w:rPr>
        <w:t>oci</w:t>
      </w:r>
      <w:r w:rsidR="00C5524B" w:rsidRPr="00C5524B">
        <w:rPr>
          <w:rFonts w:cs="Arial"/>
        </w:rPr>
        <w:t>al care, adult social care, waste s</w:t>
      </w:r>
      <w:r w:rsidR="008A1AB4" w:rsidRPr="00C5524B">
        <w:rPr>
          <w:rFonts w:cs="Arial"/>
        </w:rPr>
        <w:t>ervice</w:t>
      </w:r>
      <w:r w:rsidR="00283B67" w:rsidRPr="00C5524B">
        <w:rPr>
          <w:rFonts w:cs="Arial"/>
        </w:rPr>
        <w:t>s</w:t>
      </w:r>
      <w:r w:rsidR="00C5524B" w:rsidRPr="00C5524B">
        <w:rPr>
          <w:rFonts w:cs="Arial"/>
        </w:rPr>
        <w:t xml:space="preserve"> and transport. </w:t>
      </w:r>
    </w:p>
    <w:p w14:paraId="4F8457B6" w14:textId="77777777" w:rsidR="003D4433" w:rsidRDefault="003D4433" w:rsidP="004321DB">
      <w:pPr>
        <w:spacing w:after="0"/>
        <w:jc w:val="both"/>
        <w:rPr>
          <w:rFonts w:cs="Arial"/>
          <w:b/>
          <w:szCs w:val="24"/>
          <w:highlight w:val="yellow"/>
        </w:rPr>
      </w:pPr>
    </w:p>
    <w:p w14:paraId="1FC16023" w14:textId="77777777" w:rsidR="00F7294A" w:rsidRDefault="00F7294A" w:rsidP="004321DB">
      <w:pPr>
        <w:spacing w:after="0"/>
        <w:jc w:val="both"/>
        <w:rPr>
          <w:rFonts w:cs="Arial"/>
          <w:b/>
          <w:szCs w:val="24"/>
          <w:highlight w:val="yellow"/>
        </w:rPr>
      </w:pPr>
    </w:p>
    <w:p w14:paraId="5891F33C" w14:textId="77777777" w:rsidR="00F7294A" w:rsidRDefault="00F7294A" w:rsidP="004321DB">
      <w:pPr>
        <w:spacing w:after="0"/>
        <w:jc w:val="both"/>
        <w:rPr>
          <w:rFonts w:cs="Arial"/>
          <w:b/>
          <w:szCs w:val="24"/>
          <w:highlight w:val="yellow"/>
        </w:rPr>
      </w:pPr>
    </w:p>
    <w:p w14:paraId="722D1A70" w14:textId="77777777" w:rsidR="00F7294A" w:rsidRDefault="00F7294A" w:rsidP="004321DB">
      <w:pPr>
        <w:spacing w:after="0"/>
        <w:jc w:val="both"/>
        <w:rPr>
          <w:rFonts w:cs="Arial"/>
          <w:b/>
          <w:szCs w:val="24"/>
          <w:highlight w:val="yellow"/>
        </w:rPr>
      </w:pPr>
    </w:p>
    <w:p w14:paraId="475C2C21" w14:textId="77777777" w:rsidR="00F7294A" w:rsidRDefault="00F7294A" w:rsidP="004321DB">
      <w:pPr>
        <w:spacing w:after="0"/>
        <w:jc w:val="both"/>
        <w:rPr>
          <w:rFonts w:cs="Arial"/>
          <w:b/>
          <w:szCs w:val="24"/>
          <w:highlight w:val="yellow"/>
        </w:rPr>
      </w:pPr>
    </w:p>
    <w:p w14:paraId="3615C821" w14:textId="77777777" w:rsidR="00F7294A" w:rsidRDefault="00F7294A" w:rsidP="004321DB">
      <w:pPr>
        <w:spacing w:after="0"/>
        <w:jc w:val="both"/>
        <w:rPr>
          <w:rFonts w:cs="Arial"/>
          <w:b/>
          <w:szCs w:val="24"/>
          <w:highlight w:val="yellow"/>
        </w:rPr>
      </w:pPr>
    </w:p>
    <w:p w14:paraId="7CAB612B" w14:textId="77777777" w:rsidR="00F7294A" w:rsidRDefault="00F7294A" w:rsidP="004321DB">
      <w:pPr>
        <w:spacing w:after="0"/>
        <w:jc w:val="both"/>
        <w:rPr>
          <w:rFonts w:cs="Arial"/>
          <w:b/>
          <w:szCs w:val="24"/>
          <w:highlight w:val="yellow"/>
        </w:rPr>
      </w:pPr>
    </w:p>
    <w:p w14:paraId="55BB9DE3" w14:textId="77777777" w:rsidR="00F7294A" w:rsidRDefault="00F7294A" w:rsidP="004321DB">
      <w:pPr>
        <w:spacing w:after="0"/>
        <w:jc w:val="both"/>
        <w:rPr>
          <w:rFonts w:cs="Arial"/>
          <w:b/>
          <w:szCs w:val="24"/>
          <w:highlight w:val="yellow"/>
        </w:rPr>
      </w:pPr>
    </w:p>
    <w:p w14:paraId="19A503A1" w14:textId="77777777" w:rsidR="00F7294A" w:rsidRDefault="00F7294A" w:rsidP="004321DB">
      <w:pPr>
        <w:spacing w:after="0"/>
        <w:jc w:val="both"/>
        <w:rPr>
          <w:rFonts w:cs="Arial"/>
          <w:b/>
          <w:szCs w:val="24"/>
          <w:highlight w:val="yellow"/>
        </w:rPr>
      </w:pPr>
    </w:p>
    <w:p w14:paraId="6A88FC1F" w14:textId="77777777" w:rsidR="00F7294A" w:rsidRDefault="00F7294A" w:rsidP="004321DB">
      <w:pPr>
        <w:spacing w:after="0"/>
        <w:jc w:val="both"/>
        <w:rPr>
          <w:rFonts w:cs="Arial"/>
          <w:b/>
          <w:szCs w:val="24"/>
          <w:highlight w:val="yellow"/>
        </w:rPr>
      </w:pPr>
    </w:p>
    <w:p w14:paraId="243D19CA" w14:textId="77777777" w:rsidR="00F7294A" w:rsidRDefault="00F7294A" w:rsidP="004321DB">
      <w:pPr>
        <w:spacing w:after="0"/>
        <w:jc w:val="both"/>
        <w:rPr>
          <w:rFonts w:cs="Arial"/>
          <w:b/>
          <w:szCs w:val="24"/>
          <w:highlight w:val="yellow"/>
        </w:rPr>
      </w:pPr>
    </w:p>
    <w:p w14:paraId="57131CC5" w14:textId="77777777" w:rsidR="00F7294A" w:rsidRDefault="00F7294A" w:rsidP="004321DB">
      <w:pPr>
        <w:spacing w:after="0"/>
        <w:jc w:val="both"/>
        <w:rPr>
          <w:rFonts w:cs="Arial"/>
          <w:b/>
          <w:szCs w:val="24"/>
          <w:highlight w:val="yellow"/>
        </w:rPr>
      </w:pPr>
    </w:p>
    <w:p w14:paraId="134388DC" w14:textId="77777777" w:rsidR="00F7294A" w:rsidRDefault="00F7294A" w:rsidP="004321DB">
      <w:pPr>
        <w:spacing w:after="0"/>
        <w:jc w:val="both"/>
        <w:rPr>
          <w:rFonts w:cs="Arial"/>
          <w:b/>
          <w:szCs w:val="24"/>
          <w:highlight w:val="yellow"/>
        </w:rPr>
      </w:pPr>
    </w:p>
    <w:p w14:paraId="20E62ADA" w14:textId="77777777" w:rsidR="00F7294A" w:rsidRDefault="00F7294A" w:rsidP="004321DB">
      <w:pPr>
        <w:spacing w:after="0"/>
        <w:jc w:val="both"/>
        <w:rPr>
          <w:rFonts w:cs="Arial"/>
          <w:b/>
          <w:szCs w:val="24"/>
          <w:highlight w:val="yellow"/>
        </w:rPr>
      </w:pPr>
    </w:p>
    <w:p w14:paraId="3906B940" w14:textId="77777777" w:rsidR="00F7294A" w:rsidRDefault="00F7294A" w:rsidP="004321DB">
      <w:pPr>
        <w:spacing w:after="0"/>
        <w:jc w:val="both"/>
        <w:rPr>
          <w:rFonts w:cs="Arial"/>
          <w:b/>
          <w:szCs w:val="24"/>
          <w:highlight w:val="yellow"/>
        </w:rPr>
      </w:pPr>
    </w:p>
    <w:p w14:paraId="51FD8DBD" w14:textId="77777777" w:rsidR="00F7294A" w:rsidRDefault="00F7294A" w:rsidP="004321DB">
      <w:pPr>
        <w:spacing w:after="0"/>
        <w:jc w:val="both"/>
        <w:rPr>
          <w:rFonts w:cs="Arial"/>
          <w:b/>
          <w:szCs w:val="24"/>
          <w:highlight w:val="yellow"/>
        </w:rPr>
      </w:pPr>
    </w:p>
    <w:p w14:paraId="07335C10" w14:textId="77777777" w:rsidR="00F7294A" w:rsidRDefault="00F7294A" w:rsidP="004321DB">
      <w:pPr>
        <w:spacing w:after="0"/>
        <w:jc w:val="both"/>
        <w:rPr>
          <w:rFonts w:cs="Arial"/>
          <w:b/>
          <w:szCs w:val="24"/>
          <w:highlight w:val="yellow"/>
        </w:rPr>
      </w:pPr>
    </w:p>
    <w:p w14:paraId="585F8177" w14:textId="77777777" w:rsidR="00F7294A" w:rsidRDefault="00F7294A" w:rsidP="004321DB">
      <w:pPr>
        <w:spacing w:after="0"/>
        <w:jc w:val="both"/>
        <w:rPr>
          <w:rFonts w:cs="Arial"/>
          <w:b/>
          <w:szCs w:val="24"/>
          <w:highlight w:val="yellow"/>
        </w:rPr>
      </w:pPr>
    </w:p>
    <w:p w14:paraId="62F6A026" w14:textId="77777777" w:rsidR="00F7294A" w:rsidRDefault="00F7294A" w:rsidP="004321DB">
      <w:pPr>
        <w:spacing w:after="0"/>
        <w:jc w:val="both"/>
        <w:rPr>
          <w:rFonts w:cs="Arial"/>
          <w:b/>
          <w:szCs w:val="24"/>
          <w:highlight w:val="yellow"/>
        </w:rPr>
      </w:pPr>
    </w:p>
    <w:p w14:paraId="2A6ABD8E" w14:textId="77777777" w:rsidR="00F7294A" w:rsidRPr="00DE45C1" w:rsidRDefault="00F7294A" w:rsidP="004321DB">
      <w:pPr>
        <w:spacing w:after="0"/>
        <w:jc w:val="both"/>
        <w:rPr>
          <w:rFonts w:cs="Arial"/>
          <w:b/>
          <w:szCs w:val="24"/>
          <w:highlight w:val="yellow"/>
        </w:rPr>
      </w:pPr>
    </w:p>
    <w:p w14:paraId="730497B5" w14:textId="4B269E27" w:rsidR="00FF5809" w:rsidRPr="00EC19EE" w:rsidRDefault="00F7294A" w:rsidP="004321DB">
      <w:pPr>
        <w:spacing w:after="0"/>
        <w:jc w:val="both"/>
        <w:rPr>
          <w:rFonts w:cs="Arial"/>
          <w:b/>
          <w:szCs w:val="24"/>
        </w:rPr>
      </w:pPr>
      <w:r>
        <w:rPr>
          <w:rFonts w:cs="Arial"/>
          <w:b/>
          <w:szCs w:val="24"/>
        </w:rPr>
        <w:t>4</w:t>
      </w:r>
      <w:r w:rsidR="005A65D5" w:rsidRPr="00EC19EE">
        <w:rPr>
          <w:rFonts w:cs="Arial"/>
          <w:b/>
          <w:szCs w:val="24"/>
        </w:rPr>
        <w:t xml:space="preserve">. </w:t>
      </w:r>
      <w:r w:rsidR="00673506">
        <w:rPr>
          <w:rFonts w:cs="Arial"/>
          <w:b/>
          <w:szCs w:val="24"/>
        </w:rPr>
        <w:t>The level of r</w:t>
      </w:r>
      <w:r w:rsidR="00FF5809" w:rsidRPr="00EC19EE">
        <w:rPr>
          <w:rFonts w:cs="Arial"/>
          <w:b/>
          <w:szCs w:val="24"/>
        </w:rPr>
        <w:t>esourc</w:t>
      </w:r>
      <w:r w:rsidR="00673506">
        <w:rPr>
          <w:rFonts w:cs="Arial"/>
          <w:b/>
          <w:szCs w:val="24"/>
        </w:rPr>
        <w:t>es a</w:t>
      </w:r>
      <w:r w:rsidR="008E4942" w:rsidRPr="00EC19EE">
        <w:rPr>
          <w:rFonts w:cs="Arial"/>
          <w:b/>
          <w:szCs w:val="24"/>
        </w:rPr>
        <w:t xml:space="preserve">vailable to support the </w:t>
      </w:r>
      <w:r w:rsidR="00EC19EE" w:rsidRPr="00EC19EE">
        <w:rPr>
          <w:rFonts w:cs="Arial"/>
          <w:b/>
          <w:szCs w:val="24"/>
        </w:rPr>
        <w:t>2019/20</w:t>
      </w:r>
      <w:r w:rsidR="00673506">
        <w:rPr>
          <w:rFonts w:cs="Arial"/>
          <w:b/>
          <w:szCs w:val="24"/>
        </w:rPr>
        <w:t xml:space="preserve"> revenue b</w:t>
      </w:r>
      <w:r w:rsidR="00FF5809" w:rsidRPr="00EC19EE">
        <w:rPr>
          <w:rFonts w:cs="Arial"/>
          <w:b/>
          <w:szCs w:val="24"/>
        </w:rPr>
        <w:t>udget</w:t>
      </w:r>
    </w:p>
    <w:p w14:paraId="01A842FA" w14:textId="77777777" w:rsidR="00673506" w:rsidRDefault="00673506" w:rsidP="004321DB">
      <w:pPr>
        <w:pStyle w:val="NoSpacing"/>
        <w:spacing w:line="276" w:lineRule="auto"/>
        <w:jc w:val="both"/>
        <w:rPr>
          <w:rFonts w:ascii="Arial" w:hAnsi="Arial" w:cs="Arial"/>
          <w:highlight w:val="yellow"/>
        </w:rPr>
      </w:pPr>
    </w:p>
    <w:p w14:paraId="00A129CA" w14:textId="683A517F" w:rsidR="00424AA3" w:rsidRPr="00EC19EE" w:rsidRDefault="00424AA3" w:rsidP="004321DB">
      <w:pPr>
        <w:pStyle w:val="NoSpacing"/>
        <w:spacing w:line="276" w:lineRule="auto"/>
        <w:jc w:val="both"/>
        <w:rPr>
          <w:rFonts w:ascii="Arial" w:hAnsi="Arial" w:cs="Arial"/>
        </w:rPr>
      </w:pPr>
      <w:r w:rsidRPr="00EC19EE">
        <w:rPr>
          <w:rFonts w:ascii="Arial" w:hAnsi="Arial" w:cs="Arial"/>
        </w:rPr>
        <w:t xml:space="preserve">The level of resources </w:t>
      </w:r>
      <w:r w:rsidR="00626AB1" w:rsidRPr="00EC19EE">
        <w:rPr>
          <w:rFonts w:ascii="Arial" w:hAnsi="Arial" w:cs="Arial"/>
        </w:rPr>
        <w:t>reflected in the MTFS for</w:t>
      </w:r>
      <w:r w:rsidRPr="00EC19EE">
        <w:rPr>
          <w:rFonts w:ascii="Arial" w:hAnsi="Arial" w:cs="Arial"/>
        </w:rPr>
        <w:t xml:space="preserve"> </w:t>
      </w:r>
      <w:r w:rsidR="00EC19EE" w:rsidRPr="00EC19EE">
        <w:rPr>
          <w:rFonts w:ascii="Arial" w:hAnsi="Arial" w:cs="Arial"/>
        </w:rPr>
        <w:t>2019/20</w:t>
      </w:r>
      <w:r w:rsidR="004C039D" w:rsidRPr="00EC19EE">
        <w:rPr>
          <w:rFonts w:ascii="Arial" w:hAnsi="Arial" w:cs="Arial"/>
        </w:rPr>
        <w:t xml:space="preserve"> and future years</w:t>
      </w:r>
      <w:r w:rsidRPr="00EC19EE">
        <w:rPr>
          <w:rFonts w:ascii="Arial" w:hAnsi="Arial" w:cs="Arial"/>
        </w:rPr>
        <w:t xml:space="preserve"> is as follows:</w:t>
      </w:r>
    </w:p>
    <w:p w14:paraId="41CCDBC3" w14:textId="77777777" w:rsidR="006C35D4" w:rsidRPr="00EC19EE" w:rsidRDefault="006C35D4" w:rsidP="004321DB">
      <w:pPr>
        <w:pStyle w:val="NoSpacing"/>
        <w:spacing w:line="276" w:lineRule="auto"/>
        <w:jc w:val="both"/>
        <w:rPr>
          <w:rFonts w:ascii="Arial" w:hAnsi="Arial" w:cs="Arial"/>
        </w:rPr>
      </w:pPr>
    </w:p>
    <w:p w14:paraId="6B179637" w14:textId="064DCF02" w:rsidR="00953D0D" w:rsidRPr="00EC19EE" w:rsidRDefault="00461D95" w:rsidP="004321DB">
      <w:pPr>
        <w:pStyle w:val="NoSpacing"/>
        <w:spacing w:line="276" w:lineRule="auto"/>
        <w:jc w:val="both"/>
        <w:rPr>
          <w:rFonts w:ascii="Arial" w:hAnsi="Arial" w:cs="Arial"/>
          <w:b/>
          <w:u w:val="single"/>
        </w:rPr>
      </w:pPr>
      <w:r w:rsidRPr="00EC19EE">
        <w:rPr>
          <w:rFonts w:ascii="Arial" w:hAnsi="Arial" w:cs="Arial"/>
          <w:b/>
          <w:u w:val="single"/>
        </w:rPr>
        <w:t>Table 3</w:t>
      </w:r>
    </w:p>
    <w:p w14:paraId="2CBAAE4F" w14:textId="77777777" w:rsidR="001B20D6" w:rsidRPr="00DE45C1" w:rsidRDefault="001B20D6" w:rsidP="004321DB">
      <w:pPr>
        <w:pStyle w:val="NoSpacing"/>
        <w:spacing w:line="276" w:lineRule="auto"/>
        <w:jc w:val="both"/>
        <w:rPr>
          <w:rFonts w:ascii="Arial" w:hAnsi="Arial" w:cs="Arial"/>
          <w:b/>
          <w:highlight w:val="yellow"/>
          <w:u w:val="single"/>
        </w:rPr>
      </w:pPr>
    </w:p>
    <w:tbl>
      <w:tblPr>
        <w:tblStyle w:val="TableGrid20"/>
        <w:tblW w:w="0" w:type="auto"/>
        <w:jc w:val="center"/>
        <w:tblLayout w:type="fixed"/>
        <w:tblLook w:val="04A0" w:firstRow="1" w:lastRow="0" w:firstColumn="1" w:lastColumn="0" w:noHBand="0" w:noVBand="1"/>
      </w:tblPr>
      <w:tblGrid>
        <w:gridCol w:w="3114"/>
        <w:gridCol w:w="1284"/>
        <w:gridCol w:w="1267"/>
        <w:gridCol w:w="1268"/>
        <w:gridCol w:w="1251"/>
      </w:tblGrid>
      <w:tr w:rsidR="00673506" w:rsidRPr="00673506" w14:paraId="6C4BE5B8" w14:textId="77777777" w:rsidTr="00D02B3A">
        <w:trPr>
          <w:trHeight w:val="593"/>
          <w:jc w:val="center"/>
        </w:trPr>
        <w:tc>
          <w:tcPr>
            <w:tcW w:w="3114" w:type="dxa"/>
            <w:shd w:val="clear" w:color="auto" w:fill="BFBFBF" w:themeFill="background1" w:themeFillShade="BF"/>
            <w:vAlign w:val="center"/>
          </w:tcPr>
          <w:p w14:paraId="0D495CA1" w14:textId="77777777" w:rsidR="00673506" w:rsidRPr="00673506" w:rsidRDefault="00673506" w:rsidP="00673506">
            <w:pPr>
              <w:jc w:val="both"/>
              <w:rPr>
                <w:rFonts w:eastAsiaTheme="minorHAnsi" w:cs="Arial"/>
                <w:szCs w:val="24"/>
              </w:rPr>
            </w:pPr>
          </w:p>
        </w:tc>
        <w:tc>
          <w:tcPr>
            <w:tcW w:w="1284" w:type="dxa"/>
            <w:shd w:val="clear" w:color="auto" w:fill="BFBFBF" w:themeFill="background1" w:themeFillShade="BF"/>
            <w:vAlign w:val="center"/>
          </w:tcPr>
          <w:p w14:paraId="5273553E" w14:textId="77777777" w:rsidR="00673506" w:rsidRPr="00673506" w:rsidRDefault="00673506" w:rsidP="00673506">
            <w:pPr>
              <w:jc w:val="center"/>
              <w:rPr>
                <w:rFonts w:eastAsiaTheme="minorHAnsi" w:cs="Arial"/>
                <w:b/>
                <w:szCs w:val="24"/>
              </w:rPr>
            </w:pPr>
            <w:r w:rsidRPr="00673506">
              <w:rPr>
                <w:rFonts w:eastAsiaTheme="minorHAnsi" w:cs="Arial"/>
                <w:b/>
                <w:szCs w:val="24"/>
              </w:rPr>
              <w:t>2019/20</w:t>
            </w:r>
          </w:p>
          <w:p w14:paraId="2D9A13AD" w14:textId="77777777" w:rsidR="00673506" w:rsidRPr="00673506" w:rsidRDefault="00673506" w:rsidP="00673506">
            <w:pPr>
              <w:jc w:val="center"/>
              <w:rPr>
                <w:rFonts w:eastAsiaTheme="minorHAnsi" w:cs="Arial"/>
                <w:b/>
                <w:szCs w:val="24"/>
              </w:rPr>
            </w:pPr>
            <w:r w:rsidRPr="00673506">
              <w:rPr>
                <w:rFonts w:eastAsiaTheme="minorHAnsi" w:cs="Arial"/>
                <w:b/>
                <w:szCs w:val="24"/>
              </w:rPr>
              <w:t>£m</w:t>
            </w:r>
          </w:p>
        </w:tc>
        <w:tc>
          <w:tcPr>
            <w:tcW w:w="1267" w:type="dxa"/>
            <w:shd w:val="clear" w:color="auto" w:fill="BFBFBF" w:themeFill="background1" w:themeFillShade="BF"/>
            <w:vAlign w:val="center"/>
          </w:tcPr>
          <w:p w14:paraId="0AF199C2" w14:textId="77777777" w:rsidR="00673506" w:rsidRPr="00673506" w:rsidRDefault="00673506" w:rsidP="00673506">
            <w:pPr>
              <w:jc w:val="center"/>
              <w:rPr>
                <w:rFonts w:eastAsiaTheme="minorHAnsi" w:cs="Arial"/>
                <w:b/>
                <w:szCs w:val="24"/>
              </w:rPr>
            </w:pPr>
            <w:r w:rsidRPr="00673506">
              <w:rPr>
                <w:rFonts w:eastAsiaTheme="minorHAnsi" w:cs="Arial"/>
                <w:b/>
                <w:szCs w:val="24"/>
              </w:rPr>
              <w:t>2020/21</w:t>
            </w:r>
          </w:p>
          <w:p w14:paraId="71A46D02" w14:textId="77777777" w:rsidR="00673506" w:rsidRPr="00673506" w:rsidRDefault="00673506" w:rsidP="00673506">
            <w:pPr>
              <w:jc w:val="center"/>
              <w:rPr>
                <w:rFonts w:eastAsiaTheme="minorHAnsi" w:cs="Arial"/>
                <w:b/>
                <w:szCs w:val="24"/>
              </w:rPr>
            </w:pPr>
            <w:r w:rsidRPr="00673506">
              <w:rPr>
                <w:rFonts w:eastAsiaTheme="minorHAnsi" w:cs="Arial"/>
                <w:b/>
                <w:szCs w:val="24"/>
              </w:rPr>
              <w:t>£m</w:t>
            </w:r>
          </w:p>
        </w:tc>
        <w:tc>
          <w:tcPr>
            <w:tcW w:w="1268" w:type="dxa"/>
            <w:shd w:val="clear" w:color="auto" w:fill="BFBFBF" w:themeFill="background1" w:themeFillShade="BF"/>
          </w:tcPr>
          <w:p w14:paraId="4BF6D525" w14:textId="77777777" w:rsidR="00673506" w:rsidRPr="00673506" w:rsidRDefault="00673506" w:rsidP="00673506">
            <w:pPr>
              <w:jc w:val="center"/>
              <w:rPr>
                <w:rFonts w:eastAsiaTheme="minorHAnsi" w:cs="Arial"/>
                <w:b/>
                <w:szCs w:val="24"/>
              </w:rPr>
            </w:pPr>
            <w:r w:rsidRPr="00673506">
              <w:rPr>
                <w:rFonts w:eastAsiaTheme="minorHAnsi" w:cs="Arial"/>
                <w:b/>
                <w:szCs w:val="24"/>
              </w:rPr>
              <w:t>2021/22 £m</w:t>
            </w:r>
          </w:p>
        </w:tc>
        <w:tc>
          <w:tcPr>
            <w:tcW w:w="1251" w:type="dxa"/>
            <w:shd w:val="clear" w:color="auto" w:fill="BFBFBF" w:themeFill="background1" w:themeFillShade="BF"/>
          </w:tcPr>
          <w:p w14:paraId="575BCA2D" w14:textId="77777777" w:rsidR="00673506" w:rsidRPr="00673506" w:rsidRDefault="00673506" w:rsidP="00673506">
            <w:pPr>
              <w:jc w:val="center"/>
              <w:rPr>
                <w:rFonts w:eastAsiaTheme="minorHAnsi" w:cs="Arial"/>
                <w:b/>
                <w:szCs w:val="24"/>
              </w:rPr>
            </w:pPr>
            <w:r w:rsidRPr="00673506">
              <w:rPr>
                <w:rFonts w:eastAsiaTheme="minorHAnsi" w:cs="Arial"/>
                <w:b/>
                <w:szCs w:val="24"/>
              </w:rPr>
              <w:t>2022/23</w:t>
            </w:r>
          </w:p>
          <w:p w14:paraId="7768031A" w14:textId="77777777" w:rsidR="00673506" w:rsidRPr="00673506" w:rsidRDefault="00673506" w:rsidP="00673506">
            <w:pPr>
              <w:jc w:val="center"/>
              <w:rPr>
                <w:rFonts w:eastAsiaTheme="minorHAnsi" w:cs="Arial"/>
                <w:b/>
                <w:szCs w:val="24"/>
              </w:rPr>
            </w:pPr>
            <w:r w:rsidRPr="00673506">
              <w:rPr>
                <w:rFonts w:eastAsiaTheme="minorHAnsi" w:cs="Arial"/>
                <w:b/>
                <w:szCs w:val="24"/>
              </w:rPr>
              <w:t>£m</w:t>
            </w:r>
          </w:p>
        </w:tc>
      </w:tr>
      <w:tr w:rsidR="00673506" w:rsidRPr="00673506" w14:paraId="36FCFF78" w14:textId="77777777" w:rsidTr="00673506">
        <w:trPr>
          <w:trHeight w:val="526"/>
          <w:jc w:val="center"/>
        </w:trPr>
        <w:tc>
          <w:tcPr>
            <w:tcW w:w="3114" w:type="dxa"/>
            <w:vAlign w:val="center"/>
          </w:tcPr>
          <w:p w14:paraId="36B8A5A0" w14:textId="77777777" w:rsidR="00673506" w:rsidRPr="00673506" w:rsidRDefault="00673506" w:rsidP="00673506">
            <w:pPr>
              <w:rPr>
                <w:rFonts w:eastAsiaTheme="minorHAnsi" w:cs="Arial"/>
                <w:szCs w:val="24"/>
              </w:rPr>
            </w:pPr>
            <w:r w:rsidRPr="00673506">
              <w:rPr>
                <w:rFonts w:eastAsiaTheme="minorHAnsi" w:cs="Arial"/>
                <w:szCs w:val="24"/>
              </w:rPr>
              <w:t>Revenue Support Grant</w:t>
            </w:r>
          </w:p>
        </w:tc>
        <w:tc>
          <w:tcPr>
            <w:tcW w:w="1284" w:type="dxa"/>
            <w:vAlign w:val="center"/>
          </w:tcPr>
          <w:p w14:paraId="64B6C69C" w14:textId="77777777" w:rsidR="00673506" w:rsidRPr="00673506" w:rsidRDefault="00673506" w:rsidP="00673506">
            <w:pPr>
              <w:jc w:val="right"/>
              <w:rPr>
                <w:rFonts w:eastAsiaTheme="minorHAnsi" w:cs="Arial"/>
                <w:szCs w:val="24"/>
              </w:rPr>
            </w:pPr>
            <w:r w:rsidRPr="00673506">
              <w:rPr>
                <w:rFonts w:eastAsiaTheme="minorHAnsi" w:cs="Arial"/>
                <w:szCs w:val="24"/>
              </w:rPr>
              <w:t>0.000</w:t>
            </w:r>
          </w:p>
        </w:tc>
        <w:tc>
          <w:tcPr>
            <w:tcW w:w="1267" w:type="dxa"/>
            <w:vAlign w:val="center"/>
          </w:tcPr>
          <w:p w14:paraId="52EE468E" w14:textId="77777777" w:rsidR="00673506" w:rsidRPr="00673506" w:rsidRDefault="00673506" w:rsidP="00673506">
            <w:pPr>
              <w:jc w:val="right"/>
              <w:rPr>
                <w:rFonts w:eastAsiaTheme="minorHAnsi" w:cs="Arial"/>
                <w:szCs w:val="24"/>
              </w:rPr>
            </w:pPr>
            <w:r w:rsidRPr="00673506">
              <w:rPr>
                <w:rFonts w:eastAsiaTheme="minorHAnsi" w:cs="Arial"/>
                <w:szCs w:val="24"/>
              </w:rPr>
              <w:t>0.000</w:t>
            </w:r>
          </w:p>
        </w:tc>
        <w:tc>
          <w:tcPr>
            <w:tcW w:w="1268" w:type="dxa"/>
            <w:vAlign w:val="center"/>
          </w:tcPr>
          <w:p w14:paraId="1A15A768" w14:textId="77777777" w:rsidR="00673506" w:rsidRPr="00673506" w:rsidRDefault="00673506" w:rsidP="00673506">
            <w:pPr>
              <w:jc w:val="right"/>
              <w:rPr>
                <w:rFonts w:eastAsiaTheme="minorHAnsi" w:cs="Arial"/>
                <w:szCs w:val="24"/>
              </w:rPr>
            </w:pPr>
            <w:r w:rsidRPr="00673506">
              <w:rPr>
                <w:rFonts w:eastAsiaTheme="minorHAnsi" w:cs="Arial"/>
                <w:szCs w:val="24"/>
              </w:rPr>
              <w:t>0.000</w:t>
            </w:r>
          </w:p>
        </w:tc>
        <w:tc>
          <w:tcPr>
            <w:tcW w:w="1251" w:type="dxa"/>
            <w:vAlign w:val="center"/>
          </w:tcPr>
          <w:p w14:paraId="4BC3F0E3" w14:textId="77777777" w:rsidR="00673506" w:rsidRPr="00673506" w:rsidRDefault="00673506" w:rsidP="00673506">
            <w:pPr>
              <w:jc w:val="right"/>
              <w:rPr>
                <w:rFonts w:eastAsiaTheme="minorHAnsi" w:cs="Arial"/>
                <w:szCs w:val="24"/>
              </w:rPr>
            </w:pPr>
            <w:r w:rsidRPr="00673506">
              <w:rPr>
                <w:rFonts w:eastAsiaTheme="minorHAnsi" w:cs="Arial"/>
                <w:szCs w:val="24"/>
              </w:rPr>
              <w:t>0.000</w:t>
            </w:r>
          </w:p>
        </w:tc>
      </w:tr>
      <w:tr w:rsidR="00673506" w:rsidRPr="00673506" w14:paraId="0AA23AD3" w14:textId="77777777" w:rsidTr="00673506">
        <w:tblPrEx>
          <w:jc w:val="left"/>
        </w:tblPrEx>
        <w:trPr>
          <w:trHeight w:val="526"/>
        </w:trPr>
        <w:tc>
          <w:tcPr>
            <w:tcW w:w="3114" w:type="dxa"/>
            <w:vAlign w:val="center"/>
            <w:hideMark/>
          </w:tcPr>
          <w:p w14:paraId="22E1719E" w14:textId="77777777" w:rsidR="00673506" w:rsidRPr="00673506" w:rsidRDefault="00673506" w:rsidP="00673506">
            <w:pPr>
              <w:rPr>
                <w:rFonts w:cs="Arial"/>
                <w:color w:val="000000"/>
                <w:szCs w:val="24"/>
              </w:rPr>
            </w:pPr>
            <w:r w:rsidRPr="00673506">
              <w:rPr>
                <w:rFonts w:cs="Arial"/>
                <w:color w:val="000000"/>
                <w:szCs w:val="24"/>
              </w:rPr>
              <w:t>Business Rates</w:t>
            </w:r>
          </w:p>
        </w:tc>
        <w:tc>
          <w:tcPr>
            <w:tcW w:w="1284" w:type="dxa"/>
            <w:vAlign w:val="center"/>
            <w:hideMark/>
          </w:tcPr>
          <w:p w14:paraId="3DD077C4" w14:textId="216FA7DE" w:rsidR="00673506" w:rsidRPr="00673506" w:rsidRDefault="00785D24" w:rsidP="00673506">
            <w:pPr>
              <w:jc w:val="right"/>
              <w:rPr>
                <w:rFonts w:cs="Arial"/>
                <w:color w:val="000000"/>
                <w:szCs w:val="24"/>
              </w:rPr>
            </w:pPr>
            <w:r>
              <w:rPr>
                <w:rFonts w:cs="Arial"/>
                <w:color w:val="000000"/>
                <w:szCs w:val="24"/>
              </w:rPr>
              <w:t>230.657</w:t>
            </w:r>
          </w:p>
        </w:tc>
        <w:tc>
          <w:tcPr>
            <w:tcW w:w="1267" w:type="dxa"/>
            <w:vAlign w:val="center"/>
            <w:hideMark/>
          </w:tcPr>
          <w:p w14:paraId="018F6AFB" w14:textId="775C4AC4" w:rsidR="00673506" w:rsidRPr="00673506" w:rsidRDefault="00785D24" w:rsidP="00673506">
            <w:pPr>
              <w:jc w:val="right"/>
              <w:rPr>
                <w:rFonts w:cs="Arial"/>
                <w:color w:val="000000"/>
                <w:szCs w:val="24"/>
              </w:rPr>
            </w:pPr>
            <w:r>
              <w:rPr>
                <w:rFonts w:cs="Arial"/>
                <w:color w:val="000000"/>
                <w:szCs w:val="24"/>
              </w:rPr>
              <w:t>200.419</w:t>
            </w:r>
          </w:p>
        </w:tc>
        <w:tc>
          <w:tcPr>
            <w:tcW w:w="1268" w:type="dxa"/>
            <w:vAlign w:val="center"/>
            <w:hideMark/>
          </w:tcPr>
          <w:p w14:paraId="7607CB50" w14:textId="551D343B" w:rsidR="00673506" w:rsidRPr="00673506" w:rsidRDefault="00785D24" w:rsidP="00673506">
            <w:pPr>
              <w:jc w:val="right"/>
              <w:rPr>
                <w:rFonts w:cs="Arial"/>
                <w:color w:val="000000"/>
                <w:szCs w:val="24"/>
              </w:rPr>
            </w:pPr>
            <w:r>
              <w:rPr>
                <w:rFonts w:cs="Arial"/>
                <w:color w:val="000000"/>
                <w:szCs w:val="24"/>
              </w:rPr>
              <w:t>205.861</w:t>
            </w:r>
          </w:p>
        </w:tc>
        <w:tc>
          <w:tcPr>
            <w:tcW w:w="1251" w:type="dxa"/>
            <w:vAlign w:val="center"/>
            <w:hideMark/>
          </w:tcPr>
          <w:p w14:paraId="240FBBBE" w14:textId="5D36A612" w:rsidR="00673506" w:rsidRPr="00673506" w:rsidRDefault="00785D24" w:rsidP="00673506">
            <w:pPr>
              <w:jc w:val="right"/>
              <w:rPr>
                <w:rFonts w:cs="Arial"/>
                <w:color w:val="000000"/>
                <w:szCs w:val="24"/>
              </w:rPr>
            </w:pPr>
            <w:r>
              <w:rPr>
                <w:rFonts w:cs="Arial"/>
                <w:color w:val="000000"/>
                <w:szCs w:val="24"/>
              </w:rPr>
              <w:t>211.473</w:t>
            </w:r>
          </w:p>
        </w:tc>
      </w:tr>
      <w:tr w:rsidR="00673506" w:rsidRPr="00673506" w14:paraId="09EE4C18" w14:textId="77777777" w:rsidTr="00673506">
        <w:tblPrEx>
          <w:jc w:val="left"/>
        </w:tblPrEx>
        <w:trPr>
          <w:trHeight w:val="526"/>
        </w:trPr>
        <w:tc>
          <w:tcPr>
            <w:tcW w:w="3114" w:type="dxa"/>
            <w:vAlign w:val="center"/>
          </w:tcPr>
          <w:p w14:paraId="0CB7591E" w14:textId="77777777" w:rsidR="00673506" w:rsidRPr="00673506" w:rsidRDefault="00673506" w:rsidP="00673506">
            <w:pPr>
              <w:rPr>
                <w:rFonts w:cs="Arial"/>
                <w:color w:val="000000"/>
                <w:szCs w:val="24"/>
              </w:rPr>
            </w:pPr>
            <w:r w:rsidRPr="00673506">
              <w:rPr>
                <w:rFonts w:cs="Arial"/>
                <w:color w:val="000000"/>
                <w:szCs w:val="24"/>
              </w:rPr>
              <w:t>Business Rates – Additional Levy</w:t>
            </w:r>
          </w:p>
        </w:tc>
        <w:tc>
          <w:tcPr>
            <w:tcW w:w="1284" w:type="dxa"/>
            <w:vAlign w:val="center"/>
          </w:tcPr>
          <w:p w14:paraId="70E28AAB" w14:textId="77777777" w:rsidR="00673506" w:rsidRPr="00673506" w:rsidRDefault="00673506" w:rsidP="00673506">
            <w:pPr>
              <w:jc w:val="right"/>
              <w:rPr>
                <w:rFonts w:cs="Arial"/>
                <w:color w:val="000000"/>
                <w:szCs w:val="24"/>
              </w:rPr>
            </w:pPr>
            <w:r w:rsidRPr="00673506">
              <w:rPr>
                <w:rFonts w:cs="Arial"/>
                <w:color w:val="000000"/>
                <w:szCs w:val="24"/>
              </w:rPr>
              <w:t>2.860</w:t>
            </w:r>
          </w:p>
        </w:tc>
        <w:tc>
          <w:tcPr>
            <w:tcW w:w="1267" w:type="dxa"/>
            <w:vAlign w:val="center"/>
          </w:tcPr>
          <w:p w14:paraId="3DEEB9DB" w14:textId="77777777" w:rsidR="00673506" w:rsidRPr="00673506" w:rsidRDefault="00673506" w:rsidP="00673506">
            <w:pPr>
              <w:jc w:val="right"/>
              <w:rPr>
                <w:rFonts w:cs="Arial"/>
                <w:color w:val="000000"/>
                <w:szCs w:val="24"/>
              </w:rPr>
            </w:pPr>
            <w:r w:rsidRPr="00673506">
              <w:rPr>
                <w:rFonts w:cs="Arial"/>
                <w:color w:val="000000"/>
                <w:szCs w:val="24"/>
              </w:rPr>
              <w:t>0.000</w:t>
            </w:r>
          </w:p>
        </w:tc>
        <w:tc>
          <w:tcPr>
            <w:tcW w:w="1268" w:type="dxa"/>
            <w:vAlign w:val="center"/>
          </w:tcPr>
          <w:p w14:paraId="0A5CEA97" w14:textId="77777777" w:rsidR="00673506" w:rsidRPr="00673506" w:rsidRDefault="00673506" w:rsidP="00673506">
            <w:pPr>
              <w:jc w:val="right"/>
              <w:rPr>
                <w:rFonts w:cs="Arial"/>
                <w:color w:val="000000"/>
                <w:szCs w:val="24"/>
              </w:rPr>
            </w:pPr>
            <w:r w:rsidRPr="00673506">
              <w:rPr>
                <w:rFonts w:cs="Arial"/>
                <w:color w:val="000000"/>
                <w:szCs w:val="24"/>
              </w:rPr>
              <w:t>0.000</w:t>
            </w:r>
          </w:p>
        </w:tc>
        <w:tc>
          <w:tcPr>
            <w:tcW w:w="1251" w:type="dxa"/>
            <w:vAlign w:val="center"/>
          </w:tcPr>
          <w:p w14:paraId="29A06924" w14:textId="77777777" w:rsidR="00673506" w:rsidRPr="00673506" w:rsidRDefault="00673506" w:rsidP="00673506">
            <w:pPr>
              <w:jc w:val="right"/>
              <w:rPr>
                <w:rFonts w:cs="Arial"/>
                <w:color w:val="000000"/>
                <w:szCs w:val="24"/>
              </w:rPr>
            </w:pPr>
            <w:r w:rsidRPr="00673506">
              <w:rPr>
                <w:rFonts w:cs="Arial"/>
                <w:color w:val="000000"/>
                <w:szCs w:val="24"/>
              </w:rPr>
              <w:t>0.000</w:t>
            </w:r>
          </w:p>
        </w:tc>
      </w:tr>
      <w:tr w:rsidR="00673506" w:rsidRPr="00673506" w14:paraId="1E9A0914" w14:textId="77777777" w:rsidTr="00673506">
        <w:tblPrEx>
          <w:jc w:val="left"/>
        </w:tblPrEx>
        <w:trPr>
          <w:trHeight w:val="526"/>
        </w:trPr>
        <w:tc>
          <w:tcPr>
            <w:tcW w:w="3114" w:type="dxa"/>
            <w:vAlign w:val="center"/>
          </w:tcPr>
          <w:p w14:paraId="15E9E92C" w14:textId="77777777" w:rsidR="00673506" w:rsidRPr="00673506" w:rsidRDefault="00673506" w:rsidP="00673506">
            <w:pPr>
              <w:rPr>
                <w:rFonts w:cs="Arial"/>
                <w:color w:val="000000"/>
                <w:szCs w:val="24"/>
              </w:rPr>
            </w:pPr>
            <w:r w:rsidRPr="00673506">
              <w:rPr>
                <w:rFonts w:cs="Arial"/>
                <w:color w:val="000000"/>
                <w:szCs w:val="24"/>
              </w:rPr>
              <w:t>Business Rates – Pilot growth</w:t>
            </w:r>
          </w:p>
        </w:tc>
        <w:tc>
          <w:tcPr>
            <w:tcW w:w="1284" w:type="dxa"/>
            <w:vAlign w:val="center"/>
          </w:tcPr>
          <w:p w14:paraId="49A2F628" w14:textId="78DA5E5C" w:rsidR="00673506" w:rsidRPr="00673506" w:rsidRDefault="00785D24" w:rsidP="00673506">
            <w:pPr>
              <w:jc w:val="right"/>
              <w:rPr>
                <w:rFonts w:cs="Arial"/>
                <w:color w:val="000000"/>
                <w:szCs w:val="24"/>
              </w:rPr>
            </w:pPr>
            <w:r>
              <w:rPr>
                <w:rFonts w:cs="Arial"/>
                <w:color w:val="000000"/>
                <w:szCs w:val="24"/>
              </w:rPr>
              <w:t>2.886</w:t>
            </w:r>
          </w:p>
        </w:tc>
        <w:tc>
          <w:tcPr>
            <w:tcW w:w="1267" w:type="dxa"/>
            <w:vAlign w:val="center"/>
          </w:tcPr>
          <w:p w14:paraId="0BCA26B7" w14:textId="77777777" w:rsidR="00673506" w:rsidRPr="00673506" w:rsidRDefault="00673506" w:rsidP="00673506">
            <w:pPr>
              <w:jc w:val="right"/>
              <w:rPr>
                <w:rFonts w:cs="Arial"/>
                <w:color w:val="000000"/>
                <w:szCs w:val="24"/>
              </w:rPr>
            </w:pPr>
            <w:r w:rsidRPr="00673506">
              <w:rPr>
                <w:rFonts w:cs="Arial"/>
                <w:color w:val="000000"/>
                <w:szCs w:val="24"/>
              </w:rPr>
              <w:t>0.000</w:t>
            </w:r>
          </w:p>
        </w:tc>
        <w:tc>
          <w:tcPr>
            <w:tcW w:w="1268" w:type="dxa"/>
            <w:vAlign w:val="center"/>
          </w:tcPr>
          <w:p w14:paraId="653BE736" w14:textId="77777777" w:rsidR="00673506" w:rsidRPr="00673506" w:rsidRDefault="00673506" w:rsidP="00673506">
            <w:pPr>
              <w:jc w:val="right"/>
              <w:rPr>
                <w:rFonts w:cs="Arial"/>
                <w:color w:val="000000"/>
                <w:szCs w:val="24"/>
              </w:rPr>
            </w:pPr>
            <w:r w:rsidRPr="00673506">
              <w:rPr>
                <w:rFonts w:cs="Arial"/>
                <w:color w:val="000000"/>
                <w:szCs w:val="24"/>
              </w:rPr>
              <w:t>0.000</w:t>
            </w:r>
          </w:p>
        </w:tc>
        <w:tc>
          <w:tcPr>
            <w:tcW w:w="1251" w:type="dxa"/>
            <w:vAlign w:val="center"/>
          </w:tcPr>
          <w:p w14:paraId="4621ED51" w14:textId="77777777" w:rsidR="00673506" w:rsidRPr="00673506" w:rsidRDefault="00673506" w:rsidP="00673506">
            <w:pPr>
              <w:jc w:val="right"/>
              <w:rPr>
                <w:rFonts w:cs="Arial"/>
                <w:color w:val="000000"/>
                <w:szCs w:val="24"/>
              </w:rPr>
            </w:pPr>
            <w:r w:rsidRPr="00673506">
              <w:rPr>
                <w:rFonts w:cs="Arial"/>
                <w:color w:val="000000"/>
                <w:szCs w:val="24"/>
              </w:rPr>
              <w:t>0.000</w:t>
            </w:r>
          </w:p>
        </w:tc>
      </w:tr>
      <w:tr w:rsidR="00673506" w:rsidRPr="00673506" w14:paraId="7E0659B3" w14:textId="77777777" w:rsidTr="00673506">
        <w:tblPrEx>
          <w:jc w:val="left"/>
        </w:tblPrEx>
        <w:trPr>
          <w:trHeight w:val="526"/>
        </w:trPr>
        <w:tc>
          <w:tcPr>
            <w:tcW w:w="3114" w:type="dxa"/>
            <w:vAlign w:val="center"/>
            <w:hideMark/>
          </w:tcPr>
          <w:p w14:paraId="165B1724" w14:textId="77777777" w:rsidR="00673506" w:rsidRPr="00673506" w:rsidRDefault="00673506" w:rsidP="00673506">
            <w:pPr>
              <w:rPr>
                <w:rFonts w:cs="Arial"/>
                <w:color w:val="000000"/>
                <w:szCs w:val="24"/>
              </w:rPr>
            </w:pPr>
            <w:r w:rsidRPr="00673506">
              <w:rPr>
                <w:rFonts w:cs="Arial"/>
                <w:color w:val="000000"/>
                <w:szCs w:val="24"/>
              </w:rPr>
              <w:t>Council Tax</w:t>
            </w:r>
          </w:p>
        </w:tc>
        <w:tc>
          <w:tcPr>
            <w:tcW w:w="1284" w:type="dxa"/>
            <w:vAlign w:val="center"/>
            <w:hideMark/>
          </w:tcPr>
          <w:p w14:paraId="3F936F82" w14:textId="365343B5" w:rsidR="00673506" w:rsidRPr="00673506" w:rsidRDefault="00785D24" w:rsidP="00673506">
            <w:pPr>
              <w:jc w:val="right"/>
              <w:rPr>
                <w:rFonts w:cs="Arial"/>
                <w:color w:val="000000"/>
                <w:szCs w:val="24"/>
              </w:rPr>
            </w:pPr>
            <w:r>
              <w:rPr>
                <w:rFonts w:cs="Arial"/>
                <w:color w:val="000000"/>
                <w:szCs w:val="24"/>
              </w:rPr>
              <w:t>493.898</w:t>
            </w:r>
          </w:p>
        </w:tc>
        <w:tc>
          <w:tcPr>
            <w:tcW w:w="1267" w:type="dxa"/>
            <w:vAlign w:val="center"/>
            <w:hideMark/>
          </w:tcPr>
          <w:p w14:paraId="1629A73F" w14:textId="58EAFC68" w:rsidR="00673506" w:rsidRPr="00673506" w:rsidRDefault="00785D24" w:rsidP="00785D24">
            <w:pPr>
              <w:jc w:val="right"/>
              <w:rPr>
                <w:rFonts w:cs="Arial"/>
                <w:color w:val="000000"/>
                <w:szCs w:val="24"/>
              </w:rPr>
            </w:pPr>
            <w:r>
              <w:rPr>
                <w:rFonts w:cs="Arial"/>
                <w:color w:val="000000"/>
                <w:szCs w:val="24"/>
              </w:rPr>
              <w:t>512.287</w:t>
            </w:r>
          </w:p>
        </w:tc>
        <w:tc>
          <w:tcPr>
            <w:tcW w:w="1268" w:type="dxa"/>
            <w:vAlign w:val="center"/>
            <w:hideMark/>
          </w:tcPr>
          <w:p w14:paraId="5701C745" w14:textId="0019B66F" w:rsidR="00673506" w:rsidRPr="00673506" w:rsidRDefault="00785D24" w:rsidP="00673506">
            <w:pPr>
              <w:jc w:val="right"/>
              <w:rPr>
                <w:rFonts w:cs="Arial"/>
                <w:color w:val="000000"/>
                <w:szCs w:val="24"/>
              </w:rPr>
            </w:pPr>
            <w:r>
              <w:rPr>
                <w:rFonts w:cs="Arial"/>
                <w:color w:val="000000"/>
                <w:szCs w:val="24"/>
              </w:rPr>
              <w:t>531.365</w:t>
            </w:r>
          </w:p>
        </w:tc>
        <w:tc>
          <w:tcPr>
            <w:tcW w:w="1251" w:type="dxa"/>
            <w:vAlign w:val="center"/>
            <w:hideMark/>
          </w:tcPr>
          <w:p w14:paraId="7A46826C" w14:textId="0B32EFE7" w:rsidR="00673506" w:rsidRPr="00673506" w:rsidRDefault="00785D24" w:rsidP="00673506">
            <w:pPr>
              <w:jc w:val="right"/>
              <w:rPr>
                <w:rFonts w:cs="Arial"/>
                <w:color w:val="000000"/>
                <w:szCs w:val="24"/>
              </w:rPr>
            </w:pPr>
            <w:r>
              <w:rPr>
                <w:rFonts w:cs="Arial"/>
                <w:color w:val="000000"/>
                <w:szCs w:val="24"/>
              </w:rPr>
              <w:t>551.155</w:t>
            </w:r>
          </w:p>
        </w:tc>
      </w:tr>
      <w:tr w:rsidR="00673506" w:rsidRPr="00673506" w14:paraId="0F4FCE2D" w14:textId="77777777" w:rsidTr="00673506">
        <w:tblPrEx>
          <w:jc w:val="left"/>
        </w:tblPrEx>
        <w:trPr>
          <w:trHeight w:val="526"/>
        </w:trPr>
        <w:tc>
          <w:tcPr>
            <w:tcW w:w="3114" w:type="dxa"/>
            <w:vAlign w:val="center"/>
            <w:hideMark/>
          </w:tcPr>
          <w:p w14:paraId="54AC1A97" w14:textId="77777777" w:rsidR="00673506" w:rsidRPr="00673506" w:rsidRDefault="00673506" w:rsidP="00673506">
            <w:pPr>
              <w:rPr>
                <w:rFonts w:cs="Arial"/>
                <w:color w:val="000000"/>
                <w:szCs w:val="24"/>
              </w:rPr>
            </w:pPr>
            <w:r w:rsidRPr="00673506">
              <w:rPr>
                <w:rFonts w:cs="Arial"/>
                <w:color w:val="000000"/>
                <w:szCs w:val="24"/>
              </w:rPr>
              <w:t>New Homes Bonus</w:t>
            </w:r>
          </w:p>
        </w:tc>
        <w:tc>
          <w:tcPr>
            <w:tcW w:w="1284" w:type="dxa"/>
            <w:vAlign w:val="center"/>
            <w:hideMark/>
          </w:tcPr>
          <w:p w14:paraId="698508B7" w14:textId="164B0B31" w:rsidR="00673506" w:rsidRPr="00673506" w:rsidRDefault="00673506" w:rsidP="00785D24">
            <w:pPr>
              <w:jc w:val="right"/>
              <w:rPr>
                <w:rFonts w:cs="Arial"/>
                <w:color w:val="000000"/>
                <w:szCs w:val="24"/>
              </w:rPr>
            </w:pPr>
            <w:r w:rsidRPr="00673506">
              <w:rPr>
                <w:rFonts w:cs="Arial"/>
                <w:color w:val="000000"/>
                <w:szCs w:val="24"/>
              </w:rPr>
              <w:t>3.57</w:t>
            </w:r>
            <w:r w:rsidR="00785D24">
              <w:rPr>
                <w:rFonts w:cs="Arial"/>
                <w:color w:val="000000"/>
                <w:szCs w:val="24"/>
              </w:rPr>
              <w:t>9</w:t>
            </w:r>
          </w:p>
        </w:tc>
        <w:tc>
          <w:tcPr>
            <w:tcW w:w="1267" w:type="dxa"/>
            <w:vAlign w:val="center"/>
            <w:hideMark/>
          </w:tcPr>
          <w:p w14:paraId="2FAC49F8" w14:textId="51AE3DEB" w:rsidR="00673506" w:rsidRPr="00673506" w:rsidRDefault="00673506" w:rsidP="00785D24">
            <w:pPr>
              <w:jc w:val="right"/>
              <w:rPr>
                <w:rFonts w:cs="Arial"/>
                <w:color w:val="000000"/>
                <w:szCs w:val="24"/>
              </w:rPr>
            </w:pPr>
            <w:r w:rsidRPr="00673506">
              <w:rPr>
                <w:rFonts w:cs="Arial"/>
                <w:color w:val="000000"/>
                <w:szCs w:val="24"/>
              </w:rPr>
              <w:t>3.0</w:t>
            </w:r>
            <w:r w:rsidR="00785D24">
              <w:rPr>
                <w:rFonts w:cs="Arial"/>
                <w:color w:val="000000"/>
                <w:szCs w:val="24"/>
              </w:rPr>
              <w:t>25</w:t>
            </w:r>
          </w:p>
        </w:tc>
        <w:tc>
          <w:tcPr>
            <w:tcW w:w="1268" w:type="dxa"/>
            <w:vAlign w:val="center"/>
            <w:hideMark/>
          </w:tcPr>
          <w:p w14:paraId="7F9E81BC" w14:textId="65A2FE64" w:rsidR="00673506" w:rsidRPr="00673506" w:rsidRDefault="00673506" w:rsidP="00785D24">
            <w:pPr>
              <w:jc w:val="right"/>
              <w:rPr>
                <w:rFonts w:cs="Arial"/>
                <w:color w:val="000000"/>
                <w:szCs w:val="24"/>
              </w:rPr>
            </w:pPr>
            <w:r w:rsidRPr="00673506">
              <w:rPr>
                <w:rFonts w:cs="Arial"/>
                <w:color w:val="000000"/>
                <w:szCs w:val="24"/>
              </w:rPr>
              <w:t>3.01</w:t>
            </w:r>
            <w:r w:rsidR="00785D24">
              <w:rPr>
                <w:rFonts w:cs="Arial"/>
                <w:color w:val="000000"/>
                <w:szCs w:val="24"/>
              </w:rPr>
              <w:t>6</w:t>
            </w:r>
          </w:p>
        </w:tc>
        <w:tc>
          <w:tcPr>
            <w:tcW w:w="1251" w:type="dxa"/>
            <w:vAlign w:val="center"/>
            <w:hideMark/>
          </w:tcPr>
          <w:p w14:paraId="7EE416E8" w14:textId="3DB509CA" w:rsidR="00673506" w:rsidRPr="00673506" w:rsidRDefault="00785D24" w:rsidP="00673506">
            <w:pPr>
              <w:jc w:val="right"/>
              <w:rPr>
                <w:rFonts w:cs="Arial"/>
                <w:color w:val="000000"/>
                <w:szCs w:val="24"/>
              </w:rPr>
            </w:pPr>
            <w:r>
              <w:rPr>
                <w:rFonts w:cs="Arial"/>
                <w:color w:val="000000"/>
                <w:szCs w:val="24"/>
              </w:rPr>
              <w:t>3.016</w:t>
            </w:r>
          </w:p>
        </w:tc>
      </w:tr>
      <w:tr w:rsidR="00673506" w:rsidRPr="00673506" w14:paraId="0A626B32" w14:textId="77777777" w:rsidTr="00673506">
        <w:tblPrEx>
          <w:jc w:val="left"/>
        </w:tblPrEx>
        <w:trPr>
          <w:trHeight w:val="526"/>
        </w:trPr>
        <w:tc>
          <w:tcPr>
            <w:tcW w:w="3114" w:type="dxa"/>
            <w:vAlign w:val="center"/>
            <w:hideMark/>
          </w:tcPr>
          <w:p w14:paraId="03A54C9F" w14:textId="77777777" w:rsidR="00673506" w:rsidRPr="00673506" w:rsidRDefault="00673506" w:rsidP="00673506">
            <w:pPr>
              <w:rPr>
                <w:rFonts w:cs="Arial"/>
                <w:color w:val="000000"/>
                <w:szCs w:val="24"/>
              </w:rPr>
            </w:pPr>
            <w:r w:rsidRPr="00673506">
              <w:rPr>
                <w:rFonts w:cs="Arial"/>
                <w:color w:val="000000"/>
                <w:szCs w:val="24"/>
              </w:rPr>
              <w:t>Better Care Fund</w:t>
            </w:r>
          </w:p>
        </w:tc>
        <w:tc>
          <w:tcPr>
            <w:tcW w:w="1284" w:type="dxa"/>
            <w:vAlign w:val="center"/>
            <w:hideMark/>
          </w:tcPr>
          <w:p w14:paraId="7779330B" w14:textId="06D81F5E" w:rsidR="00673506" w:rsidRPr="00673506" w:rsidRDefault="00464763" w:rsidP="00673506">
            <w:pPr>
              <w:jc w:val="right"/>
              <w:rPr>
                <w:rFonts w:cs="Arial"/>
                <w:color w:val="000000"/>
                <w:szCs w:val="24"/>
              </w:rPr>
            </w:pPr>
            <w:r>
              <w:rPr>
                <w:rFonts w:cs="Arial"/>
                <w:color w:val="000000"/>
                <w:szCs w:val="24"/>
              </w:rPr>
              <w:t>45.532</w:t>
            </w:r>
          </w:p>
        </w:tc>
        <w:tc>
          <w:tcPr>
            <w:tcW w:w="1267" w:type="dxa"/>
            <w:vAlign w:val="center"/>
            <w:hideMark/>
          </w:tcPr>
          <w:p w14:paraId="7FA8318A" w14:textId="7D7FC556" w:rsidR="00673506" w:rsidRPr="00673506" w:rsidRDefault="00464763" w:rsidP="00673506">
            <w:pPr>
              <w:jc w:val="right"/>
              <w:rPr>
                <w:rFonts w:cs="Arial"/>
                <w:color w:val="000000"/>
                <w:szCs w:val="24"/>
              </w:rPr>
            </w:pPr>
            <w:r>
              <w:rPr>
                <w:rFonts w:cs="Arial"/>
                <w:color w:val="000000"/>
                <w:szCs w:val="24"/>
              </w:rPr>
              <w:t>45.532</w:t>
            </w:r>
          </w:p>
        </w:tc>
        <w:tc>
          <w:tcPr>
            <w:tcW w:w="1268" w:type="dxa"/>
            <w:vAlign w:val="center"/>
            <w:hideMark/>
          </w:tcPr>
          <w:p w14:paraId="728187C5" w14:textId="23AC6E94" w:rsidR="00673506" w:rsidRPr="00673506" w:rsidRDefault="00464763" w:rsidP="00673506">
            <w:pPr>
              <w:jc w:val="right"/>
              <w:rPr>
                <w:rFonts w:cs="Arial"/>
                <w:color w:val="000000"/>
                <w:szCs w:val="24"/>
              </w:rPr>
            </w:pPr>
            <w:r>
              <w:rPr>
                <w:rFonts w:cs="Arial"/>
                <w:color w:val="000000"/>
                <w:szCs w:val="24"/>
              </w:rPr>
              <w:t>45.532</w:t>
            </w:r>
          </w:p>
        </w:tc>
        <w:tc>
          <w:tcPr>
            <w:tcW w:w="1251" w:type="dxa"/>
            <w:vAlign w:val="center"/>
            <w:hideMark/>
          </w:tcPr>
          <w:p w14:paraId="6E428E85" w14:textId="0ADC1C5B" w:rsidR="00673506" w:rsidRPr="00673506" w:rsidRDefault="00464763" w:rsidP="00673506">
            <w:pPr>
              <w:jc w:val="right"/>
              <w:rPr>
                <w:rFonts w:cs="Arial"/>
                <w:color w:val="000000"/>
                <w:szCs w:val="24"/>
              </w:rPr>
            </w:pPr>
            <w:r>
              <w:rPr>
                <w:rFonts w:cs="Arial"/>
                <w:color w:val="000000"/>
                <w:szCs w:val="24"/>
              </w:rPr>
              <w:t>45.532</w:t>
            </w:r>
          </w:p>
        </w:tc>
      </w:tr>
      <w:tr w:rsidR="00673506" w:rsidRPr="00673506" w14:paraId="573797EF" w14:textId="77777777" w:rsidTr="00673506">
        <w:tblPrEx>
          <w:jc w:val="left"/>
        </w:tblPrEx>
        <w:trPr>
          <w:trHeight w:val="526"/>
        </w:trPr>
        <w:tc>
          <w:tcPr>
            <w:tcW w:w="3114" w:type="dxa"/>
            <w:vAlign w:val="center"/>
            <w:hideMark/>
          </w:tcPr>
          <w:p w14:paraId="7CB71FC6" w14:textId="77777777" w:rsidR="00673506" w:rsidRPr="00673506" w:rsidRDefault="00673506" w:rsidP="00673506">
            <w:pPr>
              <w:rPr>
                <w:rFonts w:cs="Arial"/>
                <w:color w:val="000000"/>
                <w:szCs w:val="24"/>
              </w:rPr>
            </w:pPr>
            <w:r w:rsidRPr="00673506">
              <w:rPr>
                <w:rFonts w:cs="Arial"/>
                <w:color w:val="000000"/>
                <w:szCs w:val="24"/>
              </w:rPr>
              <w:t>Capital receipts</w:t>
            </w:r>
          </w:p>
        </w:tc>
        <w:tc>
          <w:tcPr>
            <w:tcW w:w="1284" w:type="dxa"/>
            <w:vAlign w:val="center"/>
            <w:hideMark/>
          </w:tcPr>
          <w:p w14:paraId="184ADB21" w14:textId="77777777" w:rsidR="00673506" w:rsidRPr="00673506" w:rsidRDefault="00673506" w:rsidP="00673506">
            <w:pPr>
              <w:jc w:val="right"/>
              <w:rPr>
                <w:rFonts w:cs="Arial"/>
                <w:color w:val="000000"/>
                <w:szCs w:val="24"/>
              </w:rPr>
            </w:pPr>
            <w:r w:rsidRPr="00673506">
              <w:rPr>
                <w:rFonts w:cs="Arial"/>
                <w:color w:val="000000"/>
                <w:szCs w:val="24"/>
              </w:rPr>
              <w:t>8.000</w:t>
            </w:r>
          </w:p>
        </w:tc>
        <w:tc>
          <w:tcPr>
            <w:tcW w:w="1267" w:type="dxa"/>
            <w:vAlign w:val="center"/>
            <w:hideMark/>
          </w:tcPr>
          <w:p w14:paraId="0AC53F8F" w14:textId="77777777" w:rsidR="00673506" w:rsidRPr="00673506" w:rsidRDefault="00673506" w:rsidP="00673506">
            <w:pPr>
              <w:jc w:val="right"/>
              <w:rPr>
                <w:rFonts w:cs="Arial"/>
                <w:color w:val="000000"/>
                <w:szCs w:val="24"/>
              </w:rPr>
            </w:pPr>
            <w:r w:rsidRPr="00673506">
              <w:rPr>
                <w:rFonts w:cs="Arial"/>
                <w:color w:val="000000"/>
                <w:szCs w:val="24"/>
              </w:rPr>
              <w:t>7.000</w:t>
            </w:r>
          </w:p>
        </w:tc>
        <w:tc>
          <w:tcPr>
            <w:tcW w:w="1268" w:type="dxa"/>
            <w:vAlign w:val="center"/>
            <w:hideMark/>
          </w:tcPr>
          <w:p w14:paraId="4C23F7C3" w14:textId="77777777" w:rsidR="00673506" w:rsidRPr="00673506" w:rsidRDefault="00673506" w:rsidP="00673506">
            <w:pPr>
              <w:jc w:val="right"/>
              <w:rPr>
                <w:rFonts w:cs="Arial"/>
                <w:color w:val="000000"/>
                <w:szCs w:val="24"/>
              </w:rPr>
            </w:pPr>
            <w:r w:rsidRPr="00673506">
              <w:rPr>
                <w:rFonts w:cs="Arial"/>
                <w:color w:val="000000"/>
                <w:szCs w:val="24"/>
              </w:rPr>
              <w:t>0.000</w:t>
            </w:r>
          </w:p>
        </w:tc>
        <w:tc>
          <w:tcPr>
            <w:tcW w:w="1251" w:type="dxa"/>
            <w:vAlign w:val="center"/>
            <w:hideMark/>
          </w:tcPr>
          <w:p w14:paraId="1AE4D121" w14:textId="77777777" w:rsidR="00673506" w:rsidRPr="00673506" w:rsidRDefault="00673506" w:rsidP="00673506">
            <w:pPr>
              <w:jc w:val="right"/>
              <w:rPr>
                <w:rFonts w:cs="Arial"/>
                <w:color w:val="000000"/>
                <w:szCs w:val="24"/>
              </w:rPr>
            </w:pPr>
            <w:r w:rsidRPr="00673506">
              <w:rPr>
                <w:rFonts w:cs="Arial"/>
                <w:color w:val="000000"/>
                <w:szCs w:val="24"/>
              </w:rPr>
              <w:t>0.000</w:t>
            </w:r>
          </w:p>
        </w:tc>
      </w:tr>
      <w:tr w:rsidR="00673506" w:rsidRPr="00673506" w14:paraId="5BFED124" w14:textId="77777777" w:rsidTr="00673506">
        <w:tblPrEx>
          <w:jc w:val="left"/>
        </w:tblPrEx>
        <w:trPr>
          <w:trHeight w:val="526"/>
        </w:trPr>
        <w:tc>
          <w:tcPr>
            <w:tcW w:w="3114" w:type="dxa"/>
            <w:vAlign w:val="center"/>
            <w:hideMark/>
          </w:tcPr>
          <w:p w14:paraId="0ACC8777" w14:textId="77777777" w:rsidR="00673506" w:rsidRPr="00673506" w:rsidRDefault="00673506" w:rsidP="00673506">
            <w:pPr>
              <w:rPr>
                <w:rFonts w:cs="Arial"/>
                <w:color w:val="000000"/>
                <w:szCs w:val="24"/>
              </w:rPr>
            </w:pPr>
            <w:r w:rsidRPr="00673506">
              <w:rPr>
                <w:rFonts w:cs="Arial"/>
                <w:color w:val="000000"/>
                <w:szCs w:val="24"/>
              </w:rPr>
              <w:t>Social Care Grant</w:t>
            </w:r>
          </w:p>
        </w:tc>
        <w:tc>
          <w:tcPr>
            <w:tcW w:w="1284" w:type="dxa"/>
            <w:vAlign w:val="center"/>
            <w:hideMark/>
          </w:tcPr>
          <w:p w14:paraId="63759953" w14:textId="77777777" w:rsidR="00673506" w:rsidRPr="00673506" w:rsidRDefault="00673506" w:rsidP="00673506">
            <w:pPr>
              <w:jc w:val="right"/>
              <w:rPr>
                <w:rFonts w:cs="Arial"/>
                <w:color w:val="000000"/>
                <w:szCs w:val="24"/>
              </w:rPr>
            </w:pPr>
            <w:r w:rsidRPr="00673506">
              <w:rPr>
                <w:rFonts w:cs="Arial"/>
                <w:color w:val="000000"/>
                <w:szCs w:val="24"/>
              </w:rPr>
              <w:t>9.427</w:t>
            </w:r>
          </w:p>
        </w:tc>
        <w:tc>
          <w:tcPr>
            <w:tcW w:w="1267" w:type="dxa"/>
            <w:vAlign w:val="center"/>
            <w:hideMark/>
          </w:tcPr>
          <w:p w14:paraId="3187EEBA" w14:textId="77777777" w:rsidR="00673506" w:rsidRPr="00673506" w:rsidRDefault="00673506" w:rsidP="00673506">
            <w:pPr>
              <w:jc w:val="right"/>
              <w:rPr>
                <w:rFonts w:cs="Arial"/>
                <w:color w:val="000000"/>
                <w:szCs w:val="24"/>
              </w:rPr>
            </w:pPr>
            <w:r w:rsidRPr="00673506">
              <w:rPr>
                <w:rFonts w:cs="Arial"/>
                <w:color w:val="000000"/>
                <w:szCs w:val="24"/>
              </w:rPr>
              <w:t>9.427</w:t>
            </w:r>
          </w:p>
        </w:tc>
        <w:tc>
          <w:tcPr>
            <w:tcW w:w="1268" w:type="dxa"/>
            <w:vAlign w:val="center"/>
            <w:hideMark/>
          </w:tcPr>
          <w:p w14:paraId="46DE2CC9" w14:textId="77777777" w:rsidR="00673506" w:rsidRPr="00673506" w:rsidRDefault="00673506" w:rsidP="00673506">
            <w:pPr>
              <w:jc w:val="right"/>
              <w:rPr>
                <w:rFonts w:cs="Arial"/>
                <w:color w:val="000000"/>
                <w:szCs w:val="24"/>
              </w:rPr>
            </w:pPr>
            <w:r w:rsidRPr="00673506">
              <w:rPr>
                <w:rFonts w:cs="Arial"/>
                <w:color w:val="000000"/>
                <w:szCs w:val="24"/>
              </w:rPr>
              <w:t>9.427</w:t>
            </w:r>
          </w:p>
        </w:tc>
        <w:tc>
          <w:tcPr>
            <w:tcW w:w="1251" w:type="dxa"/>
            <w:vAlign w:val="center"/>
            <w:hideMark/>
          </w:tcPr>
          <w:p w14:paraId="54690558" w14:textId="77777777" w:rsidR="00673506" w:rsidRPr="00673506" w:rsidRDefault="00673506" w:rsidP="00673506">
            <w:pPr>
              <w:jc w:val="right"/>
              <w:rPr>
                <w:rFonts w:cs="Arial"/>
                <w:color w:val="000000"/>
                <w:szCs w:val="24"/>
              </w:rPr>
            </w:pPr>
            <w:r w:rsidRPr="00673506">
              <w:rPr>
                <w:rFonts w:cs="Arial"/>
                <w:color w:val="000000"/>
                <w:szCs w:val="24"/>
              </w:rPr>
              <w:t>9.427</w:t>
            </w:r>
          </w:p>
        </w:tc>
      </w:tr>
      <w:tr w:rsidR="00673506" w:rsidRPr="00673506" w14:paraId="43DB2C6D" w14:textId="77777777" w:rsidTr="00673506">
        <w:tblPrEx>
          <w:jc w:val="left"/>
        </w:tblPrEx>
        <w:trPr>
          <w:trHeight w:val="526"/>
        </w:trPr>
        <w:tc>
          <w:tcPr>
            <w:tcW w:w="3114" w:type="dxa"/>
            <w:vAlign w:val="center"/>
            <w:hideMark/>
          </w:tcPr>
          <w:p w14:paraId="59AA398E" w14:textId="77777777" w:rsidR="00673506" w:rsidRPr="00673506" w:rsidRDefault="00673506" w:rsidP="00673506">
            <w:pPr>
              <w:rPr>
                <w:rFonts w:cs="Arial"/>
                <w:color w:val="000000"/>
                <w:szCs w:val="24"/>
              </w:rPr>
            </w:pPr>
            <w:r w:rsidRPr="00673506">
              <w:rPr>
                <w:rFonts w:cs="Arial"/>
                <w:color w:val="000000"/>
                <w:szCs w:val="24"/>
              </w:rPr>
              <w:t>Collection Fund Surplus</w:t>
            </w:r>
          </w:p>
        </w:tc>
        <w:tc>
          <w:tcPr>
            <w:tcW w:w="1284" w:type="dxa"/>
            <w:vAlign w:val="center"/>
            <w:hideMark/>
          </w:tcPr>
          <w:p w14:paraId="726ED081" w14:textId="732E51A5" w:rsidR="00673506" w:rsidRPr="00673506" w:rsidRDefault="00785D24" w:rsidP="00673506">
            <w:pPr>
              <w:jc w:val="right"/>
              <w:rPr>
                <w:rFonts w:cs="Arial"/>
                <w:color w:val="000000"/>
                <w:szCs w:val="24"/>
              </w:rPr>
            </w:pPr>
            <w:r>
              <w:rPr>
                <w:rFonts w:cs="Arial"/>
                <w:color w:val="000000"/>
                <w:szCs w:val="24"/>
              </w:rPr>
              <w:t>5.436</w:t>
            </w:r>
          </w:p>
        </w:tc>
        <w:tc>
          <w:tcPr>
            <w:tcW w:w="1267" w:type="dxa"/>
            <w:vAlign w:val="center"/>
            <w:hideMark/>
          </w:tcPr>
          <w:p w14:paraId="2041CF7D" w14:textId="1DD8F2DE" w:rsidR="00673506" w:rsidRPr="00673506" w:rsidRDefault="00785D24" w:rsidP="00673506">
            <w:pPr>
              <w:jc w:val="right"/>
              <w:rPr>
                <w:rFonts w:cs="Arial"/>
                <w:color w:val="000000"/>
                <w:szCs w:val="24"/>
              </w:rPr>
            </w:pPr>
            <w:r>
              <w:rPr>
                <w:rFonts w:cs="Arial"/>
                <w:color w:val="000000"/>
                <w:szCs w:val="24"/>
              </w:rPr>
              <w:t>3.750</w:t>
            </w:r>
          </w:p>
        </w:tc>
        <w:tc>
          <w:tcPr>
            <w:tcW w:w="1268" w:type="dxa"/>
            <w:vAlign w:val="center"/>
            <w:hideMark/>
          </w:tcPr>
          <w:p w14:paraId="17C1B42C" w14:textId="7923EE4C" w:rsidR="00673506" w:rsidRPr="00673506" w:rsidRDefault="00785D24" w:rsidP="00673506">
            <w:pPr>
              <w:jc w:val="right"/>
              <w:rPr>
                <w:rFonts w:cs="Arial"/>
                <w:color w:val="000000"/>
                <w:szCs w:val="24"/>
              </w:rPr>
            </w:pPr>
            <w:r>
              <w:rPr>
                <w:rFonts w:cs="Arial"/>
                <w:color w:val="000000"/>
                <w:szCs w:val="24"/>
              </w:rPr>
              <w:t>3.750</w:t>
            </w:r>
          </w:p>
        </w:tc>
        <w:tc>
          <w:tcPr>
            <w:tcW w:w="1251" w:type="dxa"/>
            <w:vAlign w:val="center"/>
            <w:hideMark/>
          </w:tcPr>
          <w:p w14:paraId="7D29B394" w14:textId="4746F6A7" w:rsidR="00673506" w:rsidRPr="00673506" w:rsidRDefault="00785D24" w:rsidP="00673506">
            <w:pPr>
              <w:jc w:val="right"/>
              <w:rPr>
                <w:rFonts w:cs="Arial"/>
                <w:color w:val="000000"/>
                <w:szCs w:val="24"/>
              </w:rPr>
            </w:pPr>
            <w:r>
              <w:rPr>
                <w:rFonts w:cs="Arial"/>
                <w:color w:val="000000"/>
                <w:szCs w:val="24"/>
              </w:rPr>
              <w:t>3.750</w:t>
            </w:r>
          </w:p>
        </w:tc>
      </w:tr>
      <w:tr w:rsidR="00673506" w:rsidRPr="00673506" w14:paraId="0657ABC2" w14:textId="77777777" w:rsidTr="00D02B3A">
        <w:trPr>
          <w:trHeight w:val="552"/>
          <w:jc w:val="center"/>
        </w:trPr>
        <w:tc>
          <w:tcPr>
            <w:tcW w:w="3114" w:type="dxa"/>
            <w:shd w:val="clear" w:color="auto" w:fill="BFBFBF" w:themeFill="background1" w:themeFillShade="BF"/>
            <w:vAlign w:val="center"/>
          </w:tcPr>
          <w:p w14:paraId="525DCCAB" w14:textId="77777777" w:rsidR="00673506" w:rsidRPr="00673506" w:rsidRDefault="00673506" w:rsidP="00673506">
            <w:pPr>
              <w:jc w:val="both"/>
              <w:rPr>
                <w:rFonts w:eastAsiaTheme="minorHAnsi" w:cs="Arial"/>
                <w:b/>
                <w:szCs w:val="24"/>
              </w:rPr>
            </w:pPr>
            <w:r w:rsidRPr="00673506">
              <w:rPr>
                <w:rFonts w:eastAsiaTheme="minorHAnsi" w:cs="Arial"/>
                <w:b/>
                <w:szCs w:val="24"/>
              </w:rPr>
              <w:t>Total</w:t>
            </w:r>
          </w:p>
        </w:tc>
        <w:tc>
          <w:tcPr>
            <w:tcW w:w="1284" w:type="dxa"/>
            <w:shd w:val="clear" w:color="auto" w:fill="BFBFBF" w:themeFill="background1" w:themeFillShade="BF"/>
            <w:vAlign w:val="bottom"/>
          </w:tcPr>
          <w:p w14:paraId="7381AC5C" w14:textId="6C51E8D2" w:rsidR="00673506" w:rsidRPr="00673506" w:rsidRDefault="00464763" w:rsidP="00673506">
            <w:pPr>
              <w:autoSpaceDE w:val="0"/>
              <w:autoSpaceDN w:val="0"/>
              <w:adjustRightInd w:val="0"/>
              <w:spacing w:after="120"/>
              <w:jc w:val="right"/>
              <w:rPr>
                <w:rFonts w:eastAsia="Calibri" w:cs="Arial"/>
                <w:b/>
                <w:color w:val="000000"/>
                <w:szCs w:val="24"/>
              </w:rPr>
            </w:pPr>
            <w:r>
              <w:rPr>
                <w:rFonts w:eastAsia="Calibri" w:cs="Arial"/>
                <w:b/>
                <w:color w:val="000000"/>
                <w:szCs w:val="24"/>
              </w:rPr>
              <w:t>802.275</w:t>
            </w:r>
          </w:p>
        </w:tc>
        <w:tc>
          <w:tcPr>
            <w:tcW w:w="1267" w:type="dxa"/>
            <w:shd w:val="clear" w:color="auto" w:fill="BFBFBF" w:themeFill="background1" w:themeFillShade="BF"/>
            <w:vAlign w:val="bottom"/>
          </w:tcPr>
          <w:p w14:paraId="50BE495F" w14:textId="3CF0BE28" w:rsidR="00673506" w:rsidRPr="00673506" w:rsidRDefault="00456F45" w:rsidP="00464763">
            <w:pPr>
              <w:autoSpaceDE w:val="0"/>
              <w:autoSpaceDN w:val="0"/>
              <w:adjustRightInd w:val="0"/>
              <w:spacing w:after="120"/>
              <w:jc w:val="right"/>
              <w:rPr>
                <w:rFonts w:eastAsia="Calibri" w:cs="Arial"/>
                <w:b/>
                <w:color w:val="000000"/>
                <w:szCs w:val="24"/>
              </w:rPr>
            </w:pPr>
            <w:r>
              <w:rPr>
                <w:rFonts w:eastAsia="Calibri" w:cs="Arial"/>
                <w:b/>
                <w:color w:val="000000"/>
                <w:szCs w:val="24"/>
              </w:rPr>
              <w:t>78</w:t>
            </w:r>
            <w:r w:rsidR="00464763">
              <w:rPr>
                <w:rFonts w:eastAsia="Calibri" w:cs="Arial"/>
                <w:b/>
                <w:color w:val="000000"/>
                <w:szCs w:val="24"/>
              </w:rPr>
              <w:t>1.440</w:t>
            </w:r>
          </w:p>
        </w:tc>
        <w:tc>
          <w:tcPr>
            <w:tcW w:w="1268" w:type="dxa"/>
            <w:shd w:val="clear" w:color="auto" w:fill="BFBFBF" w:themeFill="background1" w:themeFillShade="BF"/>
            <w:vAlign w:val="bottom"/>
          </w:tcPr>
          <w:p w14:paraId="2F119668" w14:textId="115D9612" w:rsidR="00673506" w:rsidRPr="00673506" w:rsidRDefault="00464763" w:rsidP="00673506">
            <w:pPr>
              <w:autoSpaceDE w:val="0"/>
              <w:autoSpaceDN w:val="0"/>
              <w:adjustRightInd w:val="0"/>
              <w:spacing w:after="120"/>
              <w:jc w:val="right"/>
              <w:rPr>
                <w:rFonts w:eastAsia="Calibri" w:cs="Arial"/>
                <w:b/>
                <w:color w:val="000000"/>
                <w:szCs w:val="24"/>
              </w:rPr>
            </w:pPr>
            <w:r>
              <w:rPr>
                <w:rFonts w:eastAsia="Calibri" w:cs="Arial"/>
                <w:b/>
                <w:color w:val="000000"/>
                <w:szCs w:val="24"/>
              </w:rPr>
              <w:t>798.951</w:t>
            </w:r>
          </w:p>
        </w:tc>
        <w:tc>
          <w:tcPr>
            <w:tcW w:w="1251" w:type="dxa"/>
            <w:shd w:val="clear" w:color="auto" w:fill="BFBFBF" w:themeFill="background1" w:themeFillShade="BF"/>
            <w:vAlign w:val="center"/>
          </w:tcPr>
          <w:p w14:paraId="50C3E5E7" w14:textId="5DC5B654" w:rsidR="00673506" w:rsidRPr="00673506" w:rsidRDefault="00464763" w:rsidP="00673506">
            <w:pPr>
              <w:autoSpaceDE w:val="0"/>
              <w:autoSpaceDN w:val="0"/>
              <w:adjustRightInd w:val="0"/>
              <w:jc w:val="right"/>
              <w:rPr>
                <w:rFonts w:eastAsia="Calibri" w:cs="Arial"/>
                <w:b/>
                <w:color w:val="000000"/>
                <w:szCs w:val="24"/>
              </w:rPr>
            </w:pPr>
            <w:r>
              <w:rPr>
                <w:rFonts w:eastAsia="Calibri" w:cs="Arial"/>
                <w:b/>
                <w:color w:val="000000"/>
                <w:szCs w:val="24"/>
              </w:rPr>
              <w:t>824.353</w:t>
            </w:r>
          </w:p>
        </w:tc>
      </w:tr>
    </w:tbl>
    <w:p w14:paraId="320774C3" w14:textId="77777777" w:rsidR="004C0F29" w:rsidRPr="00DE45C1" w:rsidRDefault="004C0F29" w:rsidP="004321DB">
      <w:pPr>
        <w:pStyle w:val="NoSpacing"/>
        <w:spacing w:line="276" w:lineRule="auto"/>
        <w:jc w:val="both"/>
        <w:rPr>
          <w:rFonts w:ascii="Arial" w:hAnsi="Arial" w:cs="Arial"/>
          <w:highlight w:val="yellow"/>
        </w:rPr>
      </w:pPr>
    </w:p>
    <w:p w14:paraId="09C2439B" w14:textId="19DBC424" w:rsidR="0043791F" w:rsidRPr="00EA1CEE" w:rsidRDefault="008107C5" w:rsidP="00875647">
      <w:pPr>
        <w:pStyle w:val="NoSpacing"/>
        <w:spacing w:line="276" w:lineRule="auto"/>
        <w:jc w:val="both"/>
        <w:rPr>
          <w:rFonts w:ascii="Arial" w:hAnsi="Arial" w:cs="Arial"/>
        </w:rPr>
      </w:pPr>
      <w:r w:rsidRPr="00EA1CEE">
        <w:rPr>
          <w:rFonts w:ascii="Arial" w:hAnsi="Arial" w:cs="Arial"/>
        </w:rPr>
        <w:t xml:space="preserve">These figures </w:t>
      </w:r>
      <w:r w:rsidR="00673506" w:rsidRPr="00EA1CEE">
        <w:rPr>
          <w:rFonts w:ascii="Arial" w:hAnsi="Arial" w:cs="Arial"/>
        </w:rPr>
        <w:t>reflect the</w:t>
      </w:r>
      <w:r w:rsidRPr="00EA1CEE">
        <w:rPr>
          <w:rFonts w:ascii="Arial" w:hAnsi="Arial" w:cs="Arial"/>
        </w:rPr>
        <w:t xml:space="preserve"> final settlement </w:t>
      </w:r>
      <w:r w:rsidR="00515C87">
        <w:rPr>
          <w:rFonts w:ascii="Arial" w:hAnsi="Arial" w:cs="Arial"/>
        </w:rPr>
        <w:t>and</w:t>
      </w:r>
      <w:r w:rsidR="0088407A" w:rsidRPr="00EA1CEE">
        <w:rPr>
          <w:rFonts w:ascii="Arial" w:hAnsi="Arial" w:cs="Arial"/>
        </w:rPr>
        <w:t xml:space="preserve"> </w:t>
      </w:r>
      <w:r w:rsidR="00C265F6" w:rsidRPr="00EA1CEE">
        <w:rPr>
          <w:rFonts w:ascii="Arial" w:hAnsi="Arial" w:cs="Arial"/>
        </w:rPr>
        <w:t xml:space="preserve">have </w:t>
      </w:r>
      <w:r w:rsidR="00EA3BE8" w:rsidRPr="00EA1CEE">
        <w:rPr>
          <w:rFonts w:ascii="Arial" w:hAnsi="Arial" w:cs="Arial"/>
        </w:rPr>
        <w:t>been adjusted</w:t>
      </w:r>
      <w:r w:rsidR="0088407A" w:rsidRPr="00EA1CEE">
        <w:rPr>
          <w:rFonts w:ascii="Arial" w:hAnsi="Arial" w:cs="Arial"/>
        </w:rPr>
        <w:t xml:space="preserve"> for the impact of </w:t>
      </w:r>
      <w:r w:rsidRPr="00EA1CEE">
        <w:rPr>
          <w:rFonts w:ascii="Arial" w:hAnsi="Arial" w:cs="Arial"/>
        </w:rPr>
        <w:t xml:space="preserve">the </w:t>
      </w:r>
      <w:r w:rsidR="0088407A" w:rsidRPr="00EA1CEE">
        <w:rPr>
          <w:rFonts w:ascii="Arial" w:hAnsi="Arial" w:cs="Arial"/>
        </w:rPr>
        <w:t xml:space="preserve">final </w:t>
      </w:r>
      <w:r w:rsidR="00515C87">
        <w:rPr>
          <w:rFonts w:ascii="Arial" w:hAnsi="Arial" w:cs="Arial"/>
        </w:rPr>
        <w:t>c</w:t>
      </w:r>
      <w:r w:rsidR="005863D0" w:rsidRPr="00EA1CEE">
        <w:rPr>
          <w:rFonts w:ascii="Arial" w:hAnsi="Arial" w:cs="Arial"/>
        </w:rPr>
        <w:t>ouncil tax base</w:t>
      </w:r>
      <w:r w:rsidRPr="00EA1CEE">
        <w:rPr>
          <w:rFonts w:ascii="Arial" w:hAnsi="Arial" w:cs="Arial"/>
        </w:rPr>
        <w:t xml:space="preserve"> figures</w:t>
      </w:r>
      <w:r w:rsidR="00515C87">
        <w:rPr>
          <w:rFonts w:ascii="Arial" w:hAnsi="Arial" w:cs="Arial"/>
        </w:rPr>
        <w:t xml:space="preserve"> and surplus and deficit position (across council tax and business rates collection funds)</w:t>
      </w:r>
      <w:r w:rsidRPr="00EA1CEE">
        <w:rPr>
          <w:rFonts w:ascii="Arial" w:hAnsi="Arial" w:cs="Arial"/>
        </w:rPr>
        <w:t xml:space="preserve"> </w:t>
      </w:r>
      <w:r w:rsidR="0088407A" w:rsidRPr="00EA1CEE">
        <w:rPr>
          <w:rFonts w:ascii="Arial" w:hAnsi="Arial" w:cs="Arial"/>
        </w:rPr>
        <w:t>a</w:t>
      </w:r>
      <w:r w:rsidRPr="00EA1CEE">
        <w:rPr>
          <w:rFonts w:ascii="Arial" w:hAnsi="Arial" w:cs="Arial"/>
        </w:rPr>
        <w:t>s</w:t>
      </w:r>
      <w:r w:rsidR="0088407A" w:rsidRPr="00EA1CEE">
        <w:rPr>
          <w:rFonts w:ascii="Arial" w:hAnsi="Arial" w:cs="Arial"/>
        </w:rPr>
        <w:t xml:space="preserve"> discussed below</w:t>
      </w:r>
      <w:r w:rsidRPr="00EA1CEE">
        <w:rPr>
          <w:rFonts w:ascii="Arial" w:hAnsi="Arial" w:cs="Arial"/>
        </w:rPr>
        <w:t>.</w:t>
      </w:r>
      <w:r w:rsidR="00673506" w:rsidRPr="00EA1CEE">
        <w:rPr>
          <w:rFonts w:ascii="Arial" w:hAnsi="Arial" w:cs="Arial"/>
        </w:rPr>
        <w:t xml:space="preserve"> </w:t>
      </w:r>
    </w:p>
    <w:p w14:paraId="74752FE9" w14:textId="77777777" w:rsidR="00673506" w:rsidRPr="00DE45C1" w:rsidRDefault="00673506" w:rsidP="00875647">
      <w:pPr>
        <w:pStyle w:val="NoSpacing"/>
        <w:spacing w:line="276" w:lineRule="auto"/>
        <w:jc w:val="both"/>
        <w:rPr>
          <w:rFonts w:ascii="Arial" w:hAnsi="Arial" w:cs="Arial"/>
          <w:highlight w:val="yellow"/>
        </w:rPr>
      </w:pPr>
    </w:p>
    <w:p w14:paraId="7CA84B26" w14:textId="3E5A8B79" w:rsidR="00FF5809" w:rsidRPr="00EC19EE" w:rsidRDefault="00F7294A" w:rsidP="004321DB">
      <w:pPr>
        <w:spacing w:after="0"/>
        <w:jc w:val="both"/>
        <w:rPr>
          <w:rFonts w:cs="Arial"/>
          <w:i/>
          <w:szCs w:val="24"/>
        </w:rPr>
      </w:pPr>
      <w:r>
        <w:rPr>
          <w:rFonts w:cs="Arial"/>
          <w:i/>
          <w:szCs w:val="24"/>
        </w:rPr>
        <w:t>4</w:t>
      </w:r>
      <w:r w:rsidR="00317423" w:rsidRPr="00EC19EE">
        <w:rPr>
          <w:rFonts w:cs="Arial"/>
          <w:i/>
          <w:szCs w:val="24"/>
        </w:rPr>
        <w:t xml:space="preserve">.1 </w:t>
      </w:r>
      <w:r w:rsidR="00FF5809" w:rsidRPr="00EC19EE">
        <w:rPr>
          <w:rFonts w:cs="Arial"/>
          <w:i/>
          <w:szCs w:val="24"/>
        </w:rPr>
        <w:t>The resources received throu</w:t>
      </w:r>
      <w:r w:rsidR="00515C87">
        <w:rPr>
          <w:rFonts w:cs="Arial"/>
          <w:i/>
          <w:szCs w:val="24"/>
        </w:rPr>
        <w:t>gh the l</w:t>
      </w:r>
      <w:r w:rsidR="00FF5809" w:rsidRPr="00EC19EE">
        <w:rPr>
          <w:rFonts w:cs="Arial"/>
          <w:i/>
          <w:szCs w:val="24"/>
        </w:rPr>
        <w:t xml:space="preserve">ocal </w:t>
      </w:r>
      <w:r w:rsidR="00515C87">
        <w:rPr>
          <w:rFonts w:cs="Arial"/>
          <w:i/>
          <w:szCs w:val="24"/>
        </w:rPr>
        <w:t>g</w:t>
      </w:r>
      <w:r w:rsidR="007A02AF" w:rsidRPr="00EC19EE">
        <w:rPr>
          <w:rFonts w:cs="Arial"/>
          <w:i/>
          <w:szCs w:val="24"/>
        </w:rPr>
        <w:t xml:space="preserve">overnment </w:t>
      </w:r>
      <w:r w:rsidR="00515C87">
        <w:rPr>
          <w:rFonts w:cs="Arial"/>
          <w:i/>
          <w:szCs w:val="24"/>
        </w:rPr>
        <w:t>f</w:t>
      </w:r>
      <w:r w:rsidR="007A02AF" w:rsidRPr="00EC19EE">
        <w:rPr>
          <w:rFonts w:cs="Arial"/>
          <w:i/>
          <w:szCs w:val="24"/>
        </w:rPr>
        <w:t xml:space="preserve">inance </w:t>
      </w:r>
      <w:r w:rsidR="00515C87">
        <w:rPr>
          <w:rFonts w:cs="Arial"/>
          <w:i/>
          <w:szCs w:val="24"/>
        </w:rPr>
        <w:t>s</w:t>
      </w:r>
      <w:r w:rsidR="007A02AF" w:rsidRPr="00EC19EE">
        <w:rPr>
          <w:rFonts w:cs="Arial"/>
          <w:i/>
          <w:szCs w:val="24"/>
        </w:rPr>
        <w:t>ettlement</w:t>
      </w:r>
    </w:p>
    <w:p w14:paraId="5F57F9B2" w14:textId="77777777" w:rsidR="007A02AF" w:rsidRPr="00DE45C1" w:rsidRDefault="007A02AF" w:rsidP="004321DB">
      <w:pPr>
        <w:spacing w:after="0"/>
        <w:jc w:val="both"/>
        <w:rPr>
          <w:rFonts w:cs="Arial"/>
          <w:i/>
          <w:szCs w:val="24"/>
          <w:highlight w:val="yellow"/>
        </w:rPr>
      </w:pPr>
    </w:p>
    <w:p w14:paraId="2125FE4C" w14:textId="29A7555B" w:rsidR="00F7294A" w:rsidRDefault="00461D95" w:rsidP="00F7294A">
      <w:pPr>
        <w:spacing w:after="0"/>
        <w:jc w:val="both"/>
        <w:rPr>
          <w:rFonts w:cs="Arial"/>
        </w:rPr>
      </w:pPr>
      <w:r w:rsidRPr="00EA1CEE">
        <w:rPr>
          <w:rFonts w:cs="Arial"/>
        </w:rPr>
        <w:t>The Se</w:t>
      </w:r>
      <w:r w:rsidR="00515C87">
        <w:rPr>
          <w:rFonts w:cs="Arial"/>
        </w:rPr>
        <w:t>cretary of State announced the provisional local g</w:t>
      </w:r>
      <w:r w:rsidRPr="00EA1CEE">
        <w:rPr>
          <w:rFonts w:cs="Arial"/>
        </w:rPr>
        <w:t>o</w:t>
      </w:r>
      <w:r w:rsidR="00673506" w:rsidRPr="00EA1CEE">
        <w:rPr>
          <w:rFonts w:cs="Arial"/>
        </w:rPr>
        <w:t>v</w:t>
      </w:r>
      <w:r w:rsidR="00515C87">
        <w:rPr>
          <w:rFonts w:cs="Arial"/>
        </w:rPr>
        <w:t>ernment finance s</w:t>
      </w:r>
      <w:r w:rsidR="00EA1CEE" w:rsidRPr="00EA1CEE">
        <w:rPr>
          <w:rFonts w:cs="Arial"/>
        </w:rPr>
        <w:t>ettlement on 13</w:t>
      </w:r>
      <w:r w:rsidRPr="00EA1CEE">
        <w:rPr>
          <w:rFonts w:cs="Arial"/>
          <w:vertAlign w:val="superscript"/>
        </w:rPr>
        <w:t>th</w:t>
      </w:r>
      <w:r w:rsidR="003F1C03" w:rsidRPr="00EA1CEE">
        <w:rPr>
          <w:rFonts w:cs="Arial"/>
        </w:rPr>
        <w:t xml:space="preserve"> December 201</w:t>
      </w:r>
      <w:r w:rsidR="00EC19EE" w:rsidRPr="00EA1CEE">
        <w:rPr>
          <w:rFonts w:cs="Arial"/>
        </w:rPr>
        <w:t>8</w:t>
      </w:r>
      <w:r w:rsidR="00673506" w:rsidRPr="00EA1CEE">
        <w:rPr>
          <w:rFonts w:cs="Arial"/>
        </w:rPr>
        <w:t>, followed by the final settlement on 29</w:t>
      </w:r>
      <w:r w:rsidR="00673506" w:rsidRPr="00EA1CEE">
        <w:rPr>
          <w:rFonts w:cs="Arial"/>
          <w:vertAlign w:val="superscript"/>
        </w:rPr>
        <w:t>th</w:t>
      </w:r>
      <w:r w:rsidR="00673506" w:rsidRPr="00EA1CEE">
        <w:rPr>
          <w:rFonts w:cs="Arial"/>
        </w:rPr>
        <w:t xml:space="preserve"> January 2019</w:t>
      </w:r>
      <w:r w:rsidRPr="00EA1CEE">
        <w:rPr>
          <w:rFonts w:cs="Arial"/>
        </w:rPr>
        <w:t>.</w:t>
      </w:r>
      <w:r w:rsidR="00673506" w:rsidRPr="00EA1CEE">
        <w:rPr>
          <w:rFonts w:cs="Arial"/>
        </w:rPr>
        <w:t xml:space="preserve"> There were no changes following the publication </w:t>
      </w:r>
      <w:r w:rsidR="00EA1CEE" w:rsidRPr="00EA1CEE">
        <w:rPr>
          <w:rFonts w:cs="Arial"/>
        </w:rPr>
        <w:t xml:space="preserve">of the final settlement, however there have been several updates to the funding position following more detailed information being available in relation </w:t>
      </w:r>
      <w:r w:rsidR="00827F59">
        <w:rPr>
          <w:rFonts w:cs="Arial"/>
        </w:rPr>
        <w:t xml:space="preserve">to </w:t>
      </w:r>
      <w:r w:rsidR="00EA1CEE" w:rsidRPr="00EA1CEE">
        <w:rPr>
          <w:rFonts w:cs="Arial"/>
        </w:rPr>
        <w:t xml:space="preserve">s31 grants. </w:t>
      </w:r>
      <w:r w:rsidRPr="00EA1CEE">
        <w:rPr>
          <w:rFonts w:cs="Arial"/>
        </w:rPr>
        <w:t xml:space="preserve"> It</w:t>
      </w:r>
      <w:r w:rsidR="00515C87">
        <w:rPr>
          <w:rFonts w:cs="Arial"/>
        </w:rPr>
        <w:t xml:space="preserve"> is important to note that the s</w:t>
      </w:r>
      <w:r w:rsidRPr="00EA1CEE">
        <w:rPr>
          <w:rFonts w:cs="Arial"/>
        </w:rPr>
        <w:t>ettlement only covers the period up to 2019/20</w:t>
      </w:r>
      <w:r w:rsidR="00EA1CEE" w:rsidRPr="00EA1CEE">
        <w:rPr>
          <w:rFonts w:cs="Arial"/>
        </w:rPr>
        <w:t>, therefore assumptions have been made for 2020/21 onwards</w:t>
      </w:r>
      <w:r w:rsidRPr="00EA1CEE">
        <w:rPr>
          <w:rFonts w:cs="Arial"/>
        </w:rPr>
        <w:t xml:space="preserve">. It is currently anticipated that a new system of local government finance will be in place </w:t>
      </w:r>
      <w:r w:rsidR="00EA1CEE" w:rsidRPr="00EA1CEE">
        <w:rPr>
          <w:rFonts w:cs="Arial"/>
        </w:rPr>
        <w:t>in 2020</w:t>
      </w:r>
      <w:r w:rsidRPr="00EA1CEE">
        <w:rPr>
          <w:rFonts w:cs="Arial"/>
        </w:rPr>
        <w:t xml:space="preserve">/21 which involves local government retaining </w:t>
      </w:r>
      <w:r w:rsidR="003F1C03" w:rsidRPr="00EA1CEE">
        <w:rPr>
          <w:rFonts w:cs="Arial"/>
        </w:rPr>
        <w:t>75%</w:t>
      </w:r>
      <w:r w:rsidR="00C933C0" w:rsidRPr="00EA1CEE">
        <w:rPr>
          <w:rFonts w:cs="Arial"/>
        </w:rPr>
        <w:t xml:space="preserve"> of the business rates</w:t>
      </w:r>
      <w:r w:rsidRPr="00EA1CEE">
        <w:rPr>
          <w:rFonts w:cs="Arial"/>
        </w:rPr>
        <w:t xml:space="preserve"> </w:t>
      </w:r>
      <w:r w:rsidR="00827F59">
        <w:rPr>
          <w:rFonts w:cs="Arial"/>
        </w:rPr>
        <w:t xml:space="preserve">and </w:t>
      </w:r>
      <w:r w:rsidRPr="00EA1CEE">
        <w:rPr>
          <w:rFonts w:cs="Arial"/>
        </w:rPr>
        <w:t xml:space="preserve">a </w:t>
      </w:r>
      <w:r w:rsidR="003F1C03" w:rsidRPr="00EA1CEE">
        <w:rPr>
          <w:rFonts w:cs="Arial"/>
        </w:rPr>
        <w:t xml:space="preserve">review of the funding formula. </w:t>
      </w:r>
      <w:r w:rsidRPr="00EA1CEE">
        <w:rPr>
          <w:rFonts w:cs="Arial"/>
        </w:rPr>
        <w:t>However,</w:t>
      </w:r>
      <w:r w:rsidRPr="008713D9">
        <w:rPr>
          <w:rFonts w:cs="Arial"/>
        </w:rPr>
        <w:t xml:space="preserve"> details of the scheme and the impa</w:t>
      </w:r>
      <w:r w:rsidR="003F1C03" w:rsidRPr="008713D9">
        <w:rPr>
          <w:rFonts w:cs="Arial"/>
        </w:rPr>
        <w:t>ct on Lancashire are not known</w:t>
      </w:r>
      <w:r w:rsidR="00827F59">
        <w:rPr>
          <w:rFonts w:cs="Arial"/>
        </w:rPr>
        <w:t xml:space="preserve"> at this stage</w:t>
      </w:r>
      <w:r w:rsidR="003F1C03" w:rsidRPr="008713D9">
        <w:rPr>
          <w:rFonts w:cs="Arial"/>
        </w:rPr>
        <w:t>.</w:t>
      </w:r>
      <w:r w:rsidRPr="008713D9">
        <w:rPr>
          <w:rFonts w:cs="Arial"/>
        </w:rPr>
        <w:t xml:space="preserve"> </w:t>
      </w:r>
    </w:p>
    <w:p w14:paraId="1F801D78" w14:textId="77777777" w:rsidR="00464763" w:rsidRDefault="00464763" w:rsidP="00F7294A">
      <w:pPr>
        <w:spacing w:after="0"/>
        <w:jc w:val="both"/>
        <w:rPr>
          <w:rFonts w:cs="Arial"/>
        </w:rPr>
      </w:pPr>
    </w:p>
    <w:p w14:paraId="35108D60" w14:textId="1F004E81" w:rsidR="00FF5809" w:rsidRPr="00F7294A" w:rsidRDefault="00F7294A" w:rsidP="00F7294A">
      <w:pPr>
        <w:spacing w:after="0"/>
        <w:jc w:val="both"/>
        <w:rPr>
          <w:rFonts w:cs="Arial"/>
          <w:highlight w:val="yellow"/>
        </w:rPr>
      </w:pPr>
      <w:r>
        <w:rPr>
          <w:rFonts w:cs="Arial"/>
          <w:i/>
        </w:rPr>
        <w:t>4</w:t>
      </w:r>
      <w:r w:rsidR="00317423" w:rsidRPr="00EC19EE">
        <w:rPr>
          <w:rFonts w:cs="Arial"/>
          <w:i/>
        </w:rPr>
        <w:t>.2</w:t>
      </w:r>
      <w:r w:rsidR="003959B5" w:rsidRPr="00EC19EE">
        <w:rPr>
          <w:rFonts w:cs="Arial"/>
          <w:i/>
        </w:rPr>
        <w:t xml:space="preserve"> </w:t>
      </w:r>
      <w:r w:rsidR="00667A93" w:rsidRPr="00EC19EE">
        <w:rPr>
          <w:rFonts w:cs="Arial"/>
          <w:i/>
        </w:rPr>
        <w:t xml:space="preserve">Council Tax in </w:t>
      </w:r>
      <w:r w:rsidR="00EC19EE" w:rsidRPr="00EC19EE">
        <w:rPr>
          <w:rFonts w:cs="Arial"/>
          <w:i/>
        </w:rPr>
        <w:t>2019/20</w:t>
      </w:r>
    </w:p>
    <w:p w14:paraId="570C5964" w14:textId="77777777" w:rsidR="00F077DD" w:rsidRPr="00DE45C1" w:rsidRDefault="00F077DD" w:rsidP="004321DB">
      <w:pPr>
        <w:pStyle w:val="NoSpacing"/>
        <w:spacing w:line="276" w:lineRule="auto"/>
        <w:jc w:val="both"/>
        <w:rPr>
          <w:rFonts w:ascii="Arial" w:hAnsi="Arial" w:cs="Arial"/>
          <w:i/>
          <w:highlight w:val="yellow"/>
        </w:rPr>
      </w:pPr>
    </w:p>
    <w:p w14:paraId="0FCE300A" w14:textId="0247467F" w:rsidR="00FF5809" w:rsidRPr="00DE45C1" w:rsidRDefault="00BC16B7" w:rsidP="004321DB">
      <w:pPr>
        <w:spacing w:after="0"/>
        <w:jc w:val="both"/>
        <w:rPr>
          <w:rFonts w:cs="Arial"/>
          <w:szCs w:val="24"/>
          <w:highlight w:val="yellow"/>
        </w:rPr>
      </w:pPr>
      <w:r w:rsidRPr="00EC19EE">
        <w:rPr>
          <w:rFonts w:cs="Arial"/>
          <w:szCs w:val="24"/>
        </w:rPr>
        <w:t xml:space="preserve">On </w:t>
      </w:r>
      <w:r w:rsidR="00EC19EE">
        <w:rPr>
          <w:rFonts w:cs="Arial"/>
          <w:szCs w:val="24"/>
        </w:rPr>
        <w:t>7</w:t>
      </w:r>
      <w:r w:rsidR="00EC19EE" w:rsidRPr="00EC19EE">
        <w:rPr>
          <w:rFonts w:cs="Arial"/>
          <w:szCs w:val="24"/>
          <w:vertAlign w:val="superscript"/>
        </w:rPr>
        <w:t>th</w:t>
      </w:r>
      <w:r w:rsidR="00EC19EE" w:rsidRPr="00EC19EE">
        <w:rPr>
          <w:rFonts w:cs="Arial"/>
          <w:szCs w:val="24"/>
        </w:rPr>
        <w:t xml:space="preserve"> February 2019</w:t>
      </w:r>
      <w:r w:rsidR="00515C87">
        <w:rPr>
          <w:rFonts w:cs="Arial"/>
          <w:szCs w:val="24"/>
        </w:rPr>
        <w:t xml:space="preserve"> c</w:t>
      </w:r>
      <w:r w:rsidR="00464763">
        <w:rPr>
          <w:rFonts w:cs="Arial"/>
          <w:szCs w:val="24"/>
        </w:rPr>
        <w:t>abinet recommended to f</w:t>
      </w:r>
      <w:r w:rsidR="008107C5" w:rsidRPr="00EC19EE">
        <w:rPr>
          <w:rFonts w:cs="Arial"/>
          <w:szCs w:val="24"/>
        </w:rPr>
        <w:t xml:space="preserve">ull </w:t>
      </w:r>
      <w:r w:rsidR="00464763">
        <w:rPr>
          <w:rFonts w:cs="Arial"/>
          <w:szCs w:val="24"/>
        </w:rPr>
        <w:t>c</w:t>
      </w:r>
      <w:r w:rsidR="008107C5" w:rsidRPr="00EC19EE">
        <w:rPr>
          <w:rFonts w:cs="Arial"/>
          <w:szCs w:val="24"/>
        </w:rPr>
        <w:t xml:space="preserve">ouncil </w:t>
      </w:r>
      <w:r w:rsidR="00D91899" w:rsidRPr="00EC19EE">
        <w:rPr>
          <w:rFonts w:cs="Arial"/>
          <w:szCs w:val="24"/>
        </w:rPr>
        <w:t xml:space="preserve">that </w:t>
      </w:r>
      <w:r w:rsidR="008107C5" w:rsidRPr="00EC19EE">
        <w:rPr>
          <w:rFonts w:cs="Arial"/>
          <w:szCs w:val="24"/>
        </w:rPr>
        <w:t xml:space="preserve">Band D </w:t>
      </w:r>
      <w:r w:rsidR="00464763">
        <w:rPr>
          <w:rFonts w:cs="Arial"/>
          <w:szCs w:val="24"/>
        </w:rPr>
        <w:t>council t</w:t>
      </w:r>
      <w:r w:rsidR="008107C5" w:rsidRPr="00EC19EE">
        <w:rPr>
          <w:rFonts w:cs="Arial"/>
          <w:szCs w:val="24"/>
        </w:rPr>
        <w:t>ax for 2</w:t>
      </w:r>
      <w:r w:rsidRPr="00EC19EE">
        <w:rPr>
          <w:rFonts w:cs="Arial"/>
          <w:szCs w:val="24"/>
        </w:rPr>
        <w:t>01</w:t>
      </w:r>
      <w:r w:rsidR="00237A3C" w:rsidRPr="00EC19EE">
        <w:rPr>
          <w:rFonts w:cs="Arial"/>
          <w:szCs w:val="24"/>
        </w:rPr>
        <w:t>9</w:t>
      </w:r>
      <w:r w:rsidR="00EC19EE" w:rsidRPr="00EC19EE">
        <w:rPr>
          <w:rFonts w:cs="Arial"/>
          <w:szCs w:val="24"/>
        </w:rPr>
        <w:t>/20</w:t>
      </w:r>
      <w:r w:rsidR="008107C5" w:rsidRPr="00EC19EE">
        <w:rPr>
          <w:rFonts w:cs="Arial"/>
          <w:szCs w:val="24"/>
        </w:rPr>
        <w:t xml:space="preserve"> </w:t>
      </w:r>
      <w:r w:rsidR="00D91899" w:rsidRPr="00B77D62">
        <w:rPr>
          <w:rFonts w:cs="Arial"/>
          <w:szCs w:val="24"/>
        </w:rPr>
        <w:t xml:space="preserve">has </w:t>
      </w:r>
      <w:r w:rsidR="008107C5" w:rsidRPr="00B77D62">
        <w:rPr>
          <w:rFonts w:cs="Arial"/>
          <w:szCs w:val="24"/>
        </w:rPr>
        <w:t xml:space="preserve">a </w:t>
      </w:r>
      <w:r w:rsidR="00B77D62" w:rsidRPr="00B77D62">
        <w:rPr>
          <w:rFonts w:cs="Arial"/>
          <w:szCs w:val="24"/>
        </w:rPr>
        <w:t>3</w:t>
      </w:r>
      <w:r w:rsidR="003F1C03" w:rsidRPr="00B77D62">
        <w:rPr>
          <w:rFonts w:cs="Arial"/>
          <w:szCs w:val="24"/>
        </w:rPr>
        <w:t>.99% increase</w:t>
      </w:r>
      <w:r w:rsidR="00407446">
        <w:rPr>
          <w:rFonts w:cs="Arial"/>
          <w:szCs w:val="24"/>
        </w:rPr>
        <w:t>,</w:t>
      </w:r>
      <w:r w:rsidR="003F1C03" w:rsidRPr="00B77D62">
        <w:rPr>
          <w:rFonts w:cs="Arial"/>
          <w:szCs w:val="24"/>
        </w:rPr>
        <w:t xml:space="preserve"> including </w:t>
      </w:r>
      <w:r w:rsidR="00B77D62" w:rsidRPr="00B77D62">
        <w:rPr>
          <w:rFonts w:cs="Arial"/>
          <w:szCs w:val="24"/>
        </w:rPr>
        <w:t>1</w:t>
      </w:r>
      <w:r w:rsidR="008107C5" w:rsidRPr="00B77D62">
        <w:rPr>
          <w:rFonts w:cs="Arial"/>
          <w:szCs w:val="24"/>
        </w:rPr>
        <w:t xml:space="preserve">% to be used for </w:t>
      </w:r>
      <w:r w:rsidR="007E4110" w:rsidRPr="00B77D62">
        <w:rPr>
          <w:rFonts w:cs="Arial"/>
          <w:szCs w:val="24"/>
        </w:rPr>
        <w:t xml:space="preserve">the </w:t>
      </w:r>
      <w:r w:rsidR="00C933C0" w:rsidRPr="00B77D62">
        <w:rPr>
          <w:rFonts w:cs="Arial"/>
          <w:szCs w:val="24"/>
        </w:rPr>
        <w:t xml:space="preserve">adult </w:t>
      </w:r>
      <w:r w:rsidR="008107C5" w:rsidRPr="00B77D62">
        <w:rPr>
          <w:rFonts w:cs="Arial"/>
          <w:szCs w:val="24"/>
        </w:rPr>
        <w:t>social</w:t>
      </w:r>
      <w:r w:rsidR="00495FF2" w:rsidRPr="00B77D62">
        <w:rPr>
          <w:rFonts w:cs="Arial"/>
          <w:szCs w:val="24"/>
        </w:rPr>
        <w:t xml:space="preserve"> care </w:t>
      </w:r>
      <w:r w:rsidR="007E4110" w:rsidRPr="00B77D62">
        <w:rPr>
          <w:rFonts w:cs="Arial"/>
          <w:szCs w:val="24"/>
        </w:rPr>
        <w:t xml:space="preserve">precept. </w:t>
      </w:r>
      <w:r w:rsidR="00464763">
        <w:rPr>
          <w:rFonts w:cs="Arial"/>
          <w:szCs w:val="24"/>
        </w:rPr>
        <w:t>The c</w:t>
      </w:r>
      <w:r w:rsidR="00172DFA" w:rsidRPr="00B77D62">
        <w:rPr>
          <w:rFonts w:cs="Arial"/>
          <w:szCs w:val="24"/>
        </w:rPr>
        <w:t xml:space="preserve">ouncil </w:t>
      </w:r>
      <w:r w:rsidR="00464763">
        <w:rPr>
          <w:rFonts w:cs="Arial"/>
          <w:szCs w:val="24"/>
        </w:rPr>
        <w:t>t</w:t>
      </w:r>
      <w:r w:rsidR="00172DFA" w:rsidRPr="00B77D62">
        <w:rPr>
          <w:rFonts w:cs="Arial"/>
          <w:szCs w:val="24"/>
        </w:rPr>
        <w:t>ax figures within th</w:t>
      </w:r>
      <w:r w:rsidR="00237A3C" w:rsidRPr="00B77D62">
        <w:rPr>
          <w:rFonts w:cs="Arial"/>
          <w:szCs w:val="24"/>
        </w:rPr>
        <w:t xml:space="preserve">e MTFS include the impact of a </w:t>
      </w:r>
      <w:r w:rsidR="00B77D62" w:rsidRPr="00B77D62">
        <w:rPr>
          <w:rFonts w:cs="Arial"/>
          <w:szCs w:val="24"/>
        </w:rPr>
        <w:t>3</w:t>
      </w:r>
      <w:r w:rsidR="00464763">
        <w:rPr>
          <w:rFonts w:cs="Arial"/>
          <w:szCs w:val="24"/>
        </w:rPr>
        <w:t>.99% increase in c</w:t>
      </w:r>
      <w:r w:rsidR="00172DFA" w:rsidRPr="00B77D62">
        <w:rPr>
          <w:rFonts w:cs="Arial"/>
          <w:szCs w:val="24"/>
        </w:rPr>
        <w:t xml:space="preserve">ouncil </w:t>
      </w:r>
      <w:r w:rsidR="00464763">
        <w:rPr>
          <w:rFonts w:cs="Arial"/>
          <w:szCs w:val="24"/>
        </w:rPr>
        <w:t>t</w:t>
      </w:r>
      <w:r w:rsidR="00172DFA" w:rsidRPr="00B77D62">
        <w:rPr>
          <w:rFonts w:cs="Arial"/>
          <w:szCs w:val="24"/>
        </w:rPr>
        <w:t>ax</w:t>
      </w:r>
      <w:r w:rsidR="00495FF2" w:rsidRPr="00B77D62">
        <w:rPr>
          <w:rFonts w:cs="Arial"/>
          <w:szCs w:val="24"/>
        </w:rPr>
        <w:t xml:space="preserve"> in </w:t>
      </w:r>
      <w:r w:rsidR="00B77D62" w:rsidRPr="00B77D62">
        <w:rPr>
          <w:rFonts w:cs="Arial"/>
          <w:szCs w:val="24"/>
        </w:rPr>
        <w:t>2019/20, 1</w:t>
      </w:r>
      <w:r w:rsidR="00237A3C" w:rsidRPr="00B77D62">
        <w:rPr>
          <w:rFonts w:cs="Arial"/>
          <w:szCs w:val="24"/>
        </w:rPr>
        <w:t>.99% increase in 2020</w:t>
      </w:r>
      <w:r w:rsidR="00B77D62" w:rsidRPr="00B77D62">
        <w:rPr>
          <w:rFonts w:cs="Arial"/>
          <w:szCs w:val="24"/>
        </w:rPr>
        <w:t xml:space="preserve">/21, </w:t>
      </w:r>
      <w:r w:rsidR="00237A3C" w:rsidRPr="00B77D62">
        <w:rPr>
          <w:rFonts w:cs="Arial"/>
          <w:szCs w:val="24"/>
        </w:rPr>
        <w:t>2021/22</w:t>
      </w:r>
      <w:r w:rsidR="00B77D62" w:rsidRPr="00B77D62">
        <w:rPr>
          <w:rFonts w:cs="Arial"/>
          <w:szCs w:val="24"/>
        </w:rPr>
        <w:t xml:space="preserve"> and 2022/23</w:t>
      </w:r>
      <w:r w:rsidR="00172DFA" w:rsidRPr="00B77D62">
        <w:rPr>
          <w:rFonts w:cs="Arial"/>
          <w:szCs w:val="24"/>
        </w:rPr>
        <w:t>.</w:t>
      </w:r>
    </w:p>
    <w:p w14:paraId="6A31CE84" w14:textId="77777777" w:rsidR="00041E11" w:rsidRPr="00DE45C1" w:rsidRDefault="00041E11" w:rsidP="004321DB">
      <w:pPr>
        <w:spacing w:after="0"/>
        <w:jc w:val="both"/>
        <w:rPr>
          <w:rFonts w:cs="Arial"/>
          <w:szCs w:val="24"/>
          <w:highlight w:val="yellow"/>
        </w:rPr>
      </w:pPr>
    </w:p>
    <w:p w14:paraId="5CE4D331" w14:textId="6375D05F" w:rsidR="00041E11" w:rsidRPr="00B77D62" w:rsidRDefault="00041E11" w:rsidP="00041E11">
      <w:pPr>
        <w:spacing w:after="0"/>
        <w:jc w:val="both"/>
        <w:rPr>
          <w:rFonts w:cs="Arial"/>
          <w:szCs w:val="24"/>
        </w:rPr>
      </w:pPr>
      <w:r w:rsidRPr="00B77D62">
        <w:rPr>
          <w:rFonts w:cs="Arial"/>
          <w:szCs w:val="24"/>
        </w:rPr>
        <w:t xml:space="preserve">There is a requirement for </w:t>
      </w:r>
      <w:r w:rsidR="0023394B">
        <w:rPr>
          <w:rFonts w:cs="Arial"/>
          <w:szCs w:val="24"/>
        </w:rPr>
        <w:t>s</w:t>
      </w:r>
      <w:r w:rsidRPr="00B77D62">
        <w:rPr>
          <w:rFonts w:cs="Arial"/>
          <w:szCs w:val="24"/>
        </w:rPr>
        <w:t xml:space="preserve">ection 151 officers in those authorities levying the </w:t>
      </w:r>
      <w:r w:rsidR="00C933C0" w:rsidRPr="00B77D62">
        <w:rPr>
          <w:rFonts w:cs="Arial"/>
          <w:szCs w:val="24"/>
        </w:rPr>
        <w:t xml:space="preserve">adult </w:t>
      </w:r>
      <w:r w:rsidRPr="00B77D62">
        <w:rPr>
          <w:rFonts w:cs="Arial"/>
          <w:szCs w:val="24"/>
        </w:rPr>
        <w:t>social care precept to provide information demonstrating that an amoun</w:t>
      </w:r>
      <w:r w:rsidR="00464763">
        <w:rPr>
          <w:rFonts w:cs="Arial"/>
          <w:szCs w:val="24"/>
        </w:rPr>
        <w:t>t equivalent to the additional c</w:t>
      </w:r>
      <w:r w:rsidRPr="00B77D62">
        <w:rPr>
          <w:rFonts w:cs="Arial"/>
          <w:szCs w:val="24"/>
        </w:rPr>
        <w:t xml:space="preserve">ouncil </w:t>
      </w:r>
      <w:r w:rsidR="00464763">
        <w:rPr>
          <w:rFonts w:cs="Arial"/>
          <w:szCs w:val="24"/>
        </w:rPr>
        <w:t>t</w:t>
      </w:r>
      <w:r w:rsidRPr="00B77D62">
        <w:rPr>
          <w:rFonts w:cs="Arial"/>
          <w:szCs w:val="24"/>
        </w:rPr>
        <w:t>ax has been a</w:t>
      </w:r>
      <w:r w:rsidR="00515C87">
        <w:rPr>
          <w:rFonts w:cs="Arial"/>
          <w:szCs w:val="24"/>
        </w:rPr>
        <w:t xml:space="preserve">llocated to adult social care. </w:t>
      </w:r>
      <w:r w:rsidR="00464763">
        <w:rPr>
          <w:rFonts w:cs="Arial"/>
          <w:szCs w:val="24"/>
        </w:rPr>
        <w:t>Any proposals for a c</w:t>
      </w:r>
      <w:r w:rsidRPr="00B77D62">
        <w:rPr>
          <w:rFonts w:cs="Arial"/>
          <w:szCs w:val="24"/>
        </w:rPr>
        <w:t xml:space="preserve">ouncil </w:t>
      </w:r>
      <w:r w:rsidR="00464763">
        <w:rPr>
          <w:rFonts w:cs="Arial"/>
          <w:szCs w:val="24"/>
        </w:rPr>
        <w:t>t</w:t>
      </w:r>
      <w:r w:rsidRPr="00B77D62">
        <w:rPr>
          <w:rFonts w:cs="Arial"/>
          <w:szCs w:val="24"/>
        </w:rPr>
        <w:t>ax increase above these thresholds will be subject to a referendum.</w:t>
      </w:r>
    </w:p>
    <w:p w14:paraId="13CC9E75" w14:textId="77777777" w:rsidR="00041E11" w:rsidRPr="00DE45C1" w:rsidRDefault="00041E11" w:rsidP="004321DB">
      <w:pPr>
        <w:spacing w:after="0"/>
        <w:jc w:val="both"/>
        <w:rPr>
          <w:rFonts w:cs="Arial"/>
          <w:szCs w:val="24"/>
          <w:highlight w:val="yellow"/>
        </w:rPr>
      </w:pPr>
    </w:p>
    <w:p w14:paraId="40F03901" w14:textId="39C7A7C6" w:rsidR="00F7294A" w:rsidRDefault="005031A0" w:rsidP="004321DB">
      <w:pPr>
        <w:spacing w:after="0"/>
        <w:jc w:val="both"/>
        <w:rPr>
          <w:rFonts w:cs="Arial"/>
          <w:szCs w:val="24"/>
        </w:rPr>
      </w:pPr>
      <w:r w:rsidRPr="00F7294A">
        <w:rPr>
          <w:rFonts w:cs="Arial"/>
          <w:szCs w:val="24"/>
        </w:rPr>
        <w:t xml:space="preserve">As part of the budget setting process </w:t>
      </w:r>
      <w:r w:rsidR="00EA1CEE" w:rsidRPr="00F7294A">
        <w:rPr>
          <w:rFonts w:cs="Arial"/>
          <w:szCs w:val="24"/>
        </w:rPr>
        <w:t>district c</w:t>
      </w:r>
      <w:r w:rsidR="00172DFA" w:rsidRPr="00F7294A">
        <w:rPr>
          <w:rFonts w:cs="Arial"/>
          <w:szCs w:val="24"/>
        </w:rPr>
        <w:t>o</w:t>
      </w:r>
      <w:r w:rsidRPr="00F7294A">
        <w:rPr>
          <w:rFonts w:cs="Arial"/>
          <w:szCs w:val="24"/>
        </w:rPr>
        <w:t xml:space="preserve">uncils must </w:t>
      </w:r>
      <w:r w:rsidR="00464763">
        <w:rPr>
          <w:rFonts w:cs="Arial"/>
          <w:szCs w:val="24"/>
        </w:rPr>
        <w:t>confirm both the council t</w:t>
      </w:r>
      <w:r w:rsidR="007E4110" w:rsidRPr="00F7294A">
        <w:rPr>
          <w:rFonts w:cs="Arial"/>
          <w:szCs w:val="24"/>
        </w:rPr>
        <w:t>ax-</w:t>
      </w:r>
      <w:r w:rsidR="00172DFA" w:rsidRPr="00F7294A">
        <w:rPr>
          <w:rFonts w:cs="Arial"/>
          <w:szCs w:val="24"/>
        </w:rPr>
        <w:t>base and the surplus</w:t>
      </w:r>
      <w:r w:rsidR="00723131" w:rsidRPr="00F7294A">
        <w:rPr>
          <w:rFonts w:cs="Arial"/>
          <w:szCs w:val="24"/>
        </w:rPr>
        <w:t>/deficit</w:t>
      </w:r>
      <w:r w:rsidR="00464763">
        <w:rPr>
          <w:rFonts w:cs="Arial"/>
          <w:szCs w:val="24"/>
        </w:rPr>
        <w:t xml:space="preserve"> on the collection f</w:t>
      </w:r>
      <w:r w:rsidR="00172DFA" w:rsidRPr="00F7294A">
        <w:rPr>
          <w:rFonts w:cs="Arial"/>
          <w:szCs w:val="24"/>
        </w:rPr>
        <w:t>und</w:t>
      </w:r>
      <w:r w:rsidRPr="00F7294A">
        <w:rPr>
          <w:rFonts w:cs="Arial"/>
          <w:szCs w:val="24"/>
        </w:rPr>
        <w:t xml:space="preserve"> by 31</w:t>
      </w:r>
      <w:r w:rsidRPr="00F7294A">
        <w:rPr>
          <w:rFonts w:cs="Arial"/>
          <w:szCs w:val="24"/>
          <w:vertAlign w:val="superscript"/>
        </w:rPr>
        <w:t>st</w:t>
      </w:r>
      <w:r w:rsidRPr="00F7294A">
        <w:rPr>
          <w:rFonts w:cs="Arial"/>
          <w:szCs w:val="24"/>
        </w:rPr>
        <w:t xml:space="preserve"> January 201</w:t>
      </w:r>
      <w:r w:rsidR="00B77D62" w:rsidRPr="00F7294A">
        <w:rPr>
          <w:rFonts w:cs="Arial"/>
          <w:szCs w:val="24"/>
        </w:rPr>
        <w:t>9</w:t>
      </w:r>
      <w:r w:rsidR="00172DFA" w:rsidRPr="00F7294A">
        <w:rPr>
          <w:rFonts w:cs="Arial"/>
          <w:szCs w:val="24"/>
        </w:rPr>
        <w:t>.</w:t>
      </w:r>
      <w:r w:rsidRPr="00F7294A">
        <w:rPr>
          <w:rFonts w:cs="Arial"/>
          <w:szCs w:val="24"/>
        </w:rPr>
        <w:t xml:space="preserve"> </w:t>
      </w:r>
      <w:r w:rsidR="00EA1CEE" w:rsidRPr="00F7294A">
        <w:rPr>
          <w:rFonts w:cs="Arial"/>
          <w:szCs w:val="24"/>
        </w:rPr>
        <w:t xml:space="preserve">The information provided by district councils has resulted in a tax base increase of 1.37% for 2019/20. This is less than the tax base growth that has been built into the MTFS, therefore the reduced growth has been reflected in this report, </w:t>
      </w:r>
      <w:r w:rsidR="00F7294A" w:rsidRPr="00F7294A">
        <w:rPr>
          <w:rFonts w:cs="Arial"/>
          <w:szCs w:val="24"/>
        </w:rPr>
        <w:t xml:space="preserve">with reduced funding of </w:t>
      </w:r>
      <w:r w:rsidR="00EA1CEE" w:rsidRPr="00F7294A">
        <w:rPr>
          <w:rFonts w:cs="Arial"/>
          <w:szCs w:val="24"/>
        </w:rPr>
        <w:t>£1.610m</w:t>
      </w:r>
      <w:r w:rsidR="00F7294A" w:rsidRPr="00F7294A">
        <w:rPr>
          <w:rFonts w:cs="Arial"/>
          <w:szCs w:val="24"/>
        </w:rPr>
        <w:t>.</w:t>
      </w:r>
      <w:r w:rsidR="00F7294A">
        <w:rPr>
          <w:rFonts w:cs="Arial"/>
          <w:szCs w:val="24"/>
        </w:rPr>
        <w:t xml:space="preserve"> The growth for future years remains at 1.7% with </w:t>
      </w:r>
      <w:r w:rsidR="00464763">
        <w:rPr>
          <w:rFonts w:cs="Arial"/>
          <w:szCs w:val="24"/>
        </w:rPr>
        <w:t xml:space="preserve">future year council tax base increases kept under review with district councils. </w:t>
      </w:r>
    </w:p>
    <w:p w14:paraId="3F7DD20C" w14:textId="77777777" w:rsidR="00F7294A" w:rsidRDefault="00F7294A" w:rsidP="004321DB">
      <w:pPr>
        <w:spacing w:after="0"/>
        <w:jc w:val="both"/>
        <w:rPr>
          <w:rFonts w:cs="Arial"/>
          <w:szCs w:val="24"/>
        </w:rPr>
      </w:pPr>
    </w:p>
    <w:p w14:paraId="095FD4E0" w14:textId="06715030" w:rsidR="00F7294A" w:rsidRPr="00DE45C1" w:rsidRDefault="00F7294A" w:rsidP="00F7294A">
      <w:pPr>
        <w:spacing w:after="0"/>
        <w:jc w:val="both"/>
        <w:rPr>
          <w:rFonts w:cs="Arial"/>
          <w:szCs w:val="24"/>
          <w:highlight w:val="yellow"/>
        </w:rPr>
      </w:pPr>
      <w:r w:rsidRPr="00782C16">
        <w:rPr>
          <w:rFonts w:cs="Arial"/>
          <w:szCs w:val="24"/>
        </w:rPr>
        <w:t>As part</w:t>
      </w:r>
      <w:r w:rsidR="00515C87">
        <w:rPr>
          <w:rFonts w:cs="Arial"/>
          <w:szCs w:val="24"/>
        </w:rPr>
        <w:t xml:space="preserve"> of the budget setting process district c</w:t>
      </w:r>
      <w:r w:rsidRPr="00782C16">
        <w:rPr>
          <w:rFonts w:cs="Arial"/>
          <w:szCs w:val="24"/>
        </w:rPr>
        <w:t xml:space="preserve">ouncils must confirm the surplus/deficit on the </w:t>
      </w:r>
      <w:r>
        <w:rPr>
          <w:rFonts w:cs="Arial"/>
          <w:szCs w:val="24"/>
        </w:rPr>
        <w:t>council tax</w:t>
      </w:r>
      <w:r w:rsidRPr="00782C16">
        <w:rPr>
          <w:rFonts w:cs="Arial"/>
          <w:szCs w:val="24"/>
        </w:rPr>
        <w:t xml:space="preserve"> </w:t>
      </w:r>
      <w:r>
        <w:rPr>
          <w:rFonts w:cs="Arial"/>
          <w:szCs w:val="24"/>
        </w:rPr>
        <w:t>collection f</w:t>
      </w:r>
      <w:r w:rsidRPr="00782C16">
        <w:rPr>
          <w:rFonts w:cs="Arial"/>
          <w:szCs w:val="24"/>
        </w:rPr>
        <w:t>und by 31</w:t>
      </w:r>
      <w:r w:rsidRPr="00782C16">
        <w:rPr>
          <w:rFonts w:cs="Arial"/>
          <w:szCs w:val="24"/>
          <w:vertAlign w:val="superscript"/>
        </w:rPr>
        <w:t>st</w:t>
      </w:r>
      <w:r w:rsidRPr="00782C16">
        <w:rPr>
          <w:rFonts w:cs="Arial"/>
          <w:szCs w:val="24"/>
        </w:rPr>
        <w:t xml:space="preserve"> January 2019. </w:t>
      </w:r>
      <w:r>
        <w:rPr>
          <w:rFonts w:cs="Arial"/>
          <w:szCs w:val="24"/>
        </w:rPr>
        <w:t xml:space="preserve">The information received from district councils state that a surplus has been achieved on the council tax collection fund of £5.240m. This has therefore been included in the funding position for 2019/20. </w:t>
      </w:r>
    </w:p>
    <w:p w14:paraId="67AB5C03" w14:textId="77777777" w:rsidR="007A02AF" w:rsidRPr="00DE45C1" w:rsidRDefault="007A02AF" w:rsidP="004321DB">
      <w:pPr>
        <w:spacing w:after="0"/>
        <w:jc w:val="both"/>
        <w:rPr>
          <w:rFonts w:cs="Arial"/>
          <w:szCs w:val="24"/>
          <w:highlight w:val="yellow"/>
        </w:rPr>
      </w:pPr>
    </w:p>
    <w:p w14:paraId="07654E6B" w14:textId="4325612F" w:rsidR="006A216A" w:rsidRPr="00B77D62" w:rsidRDefault="00F7294A" w:rsidP="004321DB">
      <w:pPr>
        <w:spacing w:after="0"/>
        <w:jc w:val="both"/>
        <w:rPr>
          <w:rFonts w:cs="Arial"/>
          <w:i/>
          <w:szCs w:val="24"/>
        </w:rPr>
      </w:pPr>
      <w:r>
        <w:rPr>
          <w:rFonts w:cs="Arial"/>
          <w:i/>
          <w:szCs w:val="24"/>
        </w:rPr>
        <w:t>4</w:t>
      </w:r>
      <w:r w:rsidR="00661624" w:rsidRPr="00B77D62">
        <w:rPr>
          <w:rFonts w:cs="Arial"/>
          <w:i/>
          <w:szCs w:val="24"/>
        </w:rPr>
        <w:t>.</w:t>
      </w:r>
      <w:r w:rsidR="00683F8E" w:rsidRPr="00B77D62">
        <w:rPr>
          <w:rFonts w:cs="Arial"/>
          <w:i/>
          <w:szCs w:val="24"/>
        </w:rPr>
        <w:t>3</w:t>
      </w:r>
      <w:r w:rsidR="00317423" w:rsidRPr="00B77D62">
        <w:rPr>
          <w:rFonts w:cs="Arial"/>
          <w:i/>
          <w:szCs w:val="24"/>
        </w:rPr>
        <w:t xml:space="preserve"> </w:t>
      </w:r>
      <w:r w:rsidR="00515C87">
        <w:rPr>
          <w:rFonts w:cs="Arial"/>
          <w:i/>
          <w:szCs w:val="24"/>
        </w:rPr>
        <w:t>Business Rates in 2019/20</w:t>
      </w:r>
    </w:p>
    <w:p w14:paraId="547E25AD" w14:textId="77777777" w:rsidR="007A02AF" w:rsidRPr="00DE45C1" w:rsidRDefault="007A02AF" w:rsidP="004321DB">
      <w:pPr>
        <w:spacing w:after="0"/>
        <w:jc w:val="both"/>
        <w:rPr>
          <w:rFonts w:cs="Arial"/>
          <w:i/>
          <w:szCs w:val="24"/>
          <w:highlight w:val="yellow"/>
        </w:rPr>
      </w:pPr>
    </w:p>
    <w:p w14:paraId="26B3B11E" w14:textId="35916F88" w:rsidR="00CE14AC" w:rsidRPr="005C2F34" w:rsidRDefault="00934822" w:rsidP="004321DB">
      <w:pPr>
        <w:spacing w:after="0"/>
        <w:jc w:val="both"/>
        <w:rPr>
          <w:rFonts w:cs="Arial"/>
          <w:szCs w:val="24"/>
        </w:rPr>
      </w:pPr>
      <w:r w:rsidRPr="00782C16">
        <w:rPr>
          <w:rFonts w:cs="Arial"/>
          <w:szCs w:val="24"/>
        </w:rPr>
        <w:t xml:space="preserve">From 2013/14 an </w:t>
      </w:r>
      <w:r w:rsidRPr="005C2F34">
        <w:rPr>
          <w:rFonts w:cs="Arial"/>
          <w:szCs w:val="24"/>
        </w:rPr>
        <w:t xml:space="preserve">element of the </w:t>
      </w:r>
      <w:r w:rsidR="00782C16" w:rsidRPr="005C2F34">
        <w:rPr>
          <w:rFonts w:cs="Arial"/>
          <w:szCs w:val="24"/>
        </w:rPr>
        <w:t>c</w:t>
      </w:r>
      <w:r w:rsidR="007E4110" w:rsidRPr="005C2F34">
        <w:rPr>
          <w:rFonts w:cs="Arial"/>
          <w:szCs w:val="24"/>
        </w:rPr>
        <w:t xml:space="preserve">ounty </w:t>
      </w:r>
      <w:r w:rsidR="00782C16" w:rsidRPr="005C2F34">
        <w:rPr>
          <w:rFonts w:cs="Arial"/>
          <w:szCs w:val="24"/>
        </w:rPr>
        <w:t>c</w:t>
      </w:r>
      <w:r w:rsidRPr="005C2F34">
        <w:rPr>
          <w:rFonts w:cs="Arial"/>
          <w:szCs w:val="24"/>
        </w:rPr>
        <w:t>ouncil</w:t>
      </w:r>
      <w:r w:rsidR="007E4110" w:rsidRPr="005C2F34">
        <w:rPr>
          <w:rFonts w:cs="Arial"/>
          <w:szCs w:val="24"/>
        </w:rPr>
        <w:t>'</w:t>
      </w:r>
      <w:r w:rsidRPr="005C2F34">
        <w:rPr>
          <w:rFonts w:cs="Arial"/>
          <w:szCs w:val="24"/>
        </w:rPr>
        <w:t>s fun</w:t>
      </w:r>
      <w:r w:rsidR="00661624" w:rsidRPr="005C2F34">
        <w:rPr>
          <w:rFonts w:cs="Arial"/>
          <w:szCs w:val="24"/>
        </w:rPr>
        <w:t>d</w:t>
      </w:r>
      <w:r w:rsidRPr="005C2F34">
        <w:rPr>
          <w:rFonts w:cs="Arial"/>
          <w:szCs w:val="24"/>
        </w:rPr>
        <w:t xml:space="preserve">ing is </w:t>
      </w:r>
      <w:r w:rsidR="00661624" w:rsidRPr="005C2F34">
        <w:rPr>
          <w:rFonts w:cs="Arial"/>
          <w:szCs w:val="24"/>
        </w:rPr>
        <w:t>received from t</w:t>
      </w:r>
      <w:r w:rsidR="00782C16" w:rsidRPr="005C2F34">
        <w:rPr>
          <w:rFonts w:cs="Arial"/>
          <w:szCs w:val="24"/>
        </w:rPr>
        <w:t>he locally retained element of b</w:t>
      </w:r>
      <w:r w:rsidR="00661624" w:rsidRPr="005C2F34">
        <w:rPr>
          <w:rFonts w:cs="Arial"/>
          <w:szCs w:val="24"/>
        </w:rPr>
        <w:t xml:space="preserve">usiness </w:t>
      </w:r>
      <w:r w:rsidR="00782C16" w:rsidRPr="005C2F34">
        <w:rPr>
          <w:rFonts w:cs="Arial"/>
          <w:szCs w:val="24"/>
        </w:rPr>
        <w:t>r</w:t>
      </w:r>
      <w:r w:rsidR="00661624" w:rsidRPr="005C2F34">
        <w:rPr>
          <w:rFonts w:cs="Arial"/>
          <w:szCs w:val="24"/>
        </w:rPr>
        <w:t xml:space="preserve">ates collected by the </w:t>
      </w:r>
      <w:r w:rsidR="00782C16" w:rsidRPr="005C2F34">
        <w:rPr>
          <w:rFonts w:cs="Arial"/>
          <w:szCs w:val="24"/>
        </w:rPr>
        <w:t>d</w:t>
      </w:r>
      <w:r w:rsidR="002D74F2" w:rsidRPr="005C2F34">
        <w:rPr>
          <w:rFonts w:cs="Arial"/>
          <w:szCs w:val="24"/>
        </w:rPr>
        <w:t xml:space="preserve">istrict </w:t>
      </w:r>
      <w:r w:rsidR="00782C16" w:rsidRPr="005C2F34">
        <w:rPr>
          <w:rFonts w:cs="Arial"/>
          <w:szCs w:val="24"/>
        </w:rPr>
        <w:t>c</w:t>
      </w:r>
      <w:r w:rsidR="00661624" w:rsidRPr="005C2F34">
        <w:rPr>
          <w:rFonts w:cs="Arial"/>
          <w:szCs w:val="24"/>
        </w:rPr>
        <w:t xml:space="preserve">ouncils. </w:t>
      </w:r>
      <w:r w:rsidR="00045426" w:rsidRPr="005C2F34">
        <w:rPr>
          <w:rFonts w:cs="Arial"/>
          <w:szCs w:val="24"/>
        </w:rPr>
        <w:t>I</w:t>
      </w:r>
      <w:r w:rsidR="00800174" w:rsidRPr="005C2F34">
        <w:rPr>
          <w:rFonts w:cs="Arial"/>
          <w:szCs w:val="24"/>
        </w:rPr>
        <w:t xml:space="preserve">t is estimated </w:t>
      </w:r>
      <w:r w:rsidR="007E4110" w:rsidRPr="005C2F34">
        <w:rPr>
          <w:rFonts w:cs="Arial"/>
          <w:szCs w:val="24"/>
        </w:rPr>
        <w:t xml:space="preserve">that </w:t>
      </w:r>
      <w:r w:rsidR="00800174" w:rsidRPr="005C2F34">
        <w:rPr>
          <w:rFonts w:cs="Arial"/>
          <w:szCs w:val="24"/>
        </w:rPr>
        <w:t xml:space="preserve">the </w:t>
      </w:r>
      <w:r w:rsidR="00782C16" w:rsidRPr="005C2F34">
        <w:rPr>
          <w:rFonts w:cs="Arial"/>
          <w:szCs w:val="24"/>
        </w:rPr>
        <w:t>c</w:t>
      </w:r>
      <w:r w:rsidR="007E4110" w:rsidRPr="005C2F34">
        <w:rPr>
          <w:rFonts w:cs="Arial"/>
          <w:szCs w:val="24"/>
        </w:rPr>
        <w:t xml:space="preserve">ounty </w:t>
      </w:r>
      <w:r w:rsidR="00782C16" w:rsidRPr="005C2F34">
        <w:rPr>
          <w:rFonts w:cs="Arial"/>
          <w:szCs w:val="24"/>
        </w:rPr>
        <w:t>c</w:t>
      </w:r>
      <w:r w:rsidR="00800174" w:rsidRPr="005C2F34">
        <w:rPr>
          <w:rFonts w:cs="Arial"/>
          <w:szCs w:val="24"/>
        </w:rPr>
        <w:t>ouncil will receive funding of £</w:t>
      </w:r>
      <w:r w:rsidR="005C2F34" w:rsidRPr="005C2F34">
        <w:rPr>
          <w:rFonts w:cs="Arial"/>
          <w:szCs w:val="24"/>
        </w:rPr>
        <w:t>236.403</w:t>
      </w:r>
      <w:r w:rsidR="003B4292" w:rsidRPr="005C2F34">
        <w:rPr>
          <w:rFonts w:cs="Arial"/>
          <w:szCs w:val="24"/>
        </w:rPr>
        <w:t>m</w:t>
      </w:r>
      <w:r w:rsidR="00515C87">
        <w:rPr>
          <w:rFonts w:cs="Arial"/>
          <w:szCs w:val="24"/>
        </w:rPr>
        <w:t xml:space="preserve"> from b</w:t>
      </w:r>
      <w:r w:rsidR="007E4110" w:rsidRPr="005C2F34">
        <w:rPr>
          <w:rFonts w:cs="Arial"/>
          <w:szCs w:val="24"/>
        </w:rPr>
        <w:t xml:space="preserve">usiness </w:t>
      </w:r>
      <w:r w:rsidR="00515C87">
        <w:rPr>
          <w:rFonts w:cs="Arial"/>
          <w:szCs w:val="24"/>
        </w:rPr>
        <w:t>r</w:t>
      </w:r>
      <w:r w:rsidR="00800174" w:rsidRPr="005C2F34">
        <w:rPr>
          <w:rFonts w:cs="Arial"/>
          <w:szCs w:val="24"/>
        </w:rPr>
        <w:t>ates</w:t>
      </w:r>
      <w:r w:rsidR="000326F0" w:rsidRPr="005C2F34">
        <w:rPr>
          <w:rFonts w:cs="Arial"/>
          <w:szCs w:val="24"/>
        </w:rPr>
        <w:t xml:space="preserve"> (including top up grant</w:t>
      </w:r>
      <w:r w:rsidR="005C2F34" w:rsidRPr="005C2F34">
        <w:rPr>
          <w:rFonts w:cs="Arial"/>
          <w:szCs w:val="24"/>
        </w:rPr>
        <w:t>, additional levy and pilot growth</w:t>
      </w:r>
      <w:r w:rsidR="000326F0" w:rsidRPr="005C2F34">
        <w:rPr>
          <w:rFonts w:cs="Arial"/>
          <w:szCs w:val="24"/>
        </w:rPr>
        <w:t>)</w:t>
      </w:r>
      <w:r w:rsidR="005031A0" w:rsidRPr="005C2F34">
        <w:rPr>
          <w:rFonts w:cs="Arial"/>
          <w:szCs w:val="24"/>
        </w:rPr>
        <w:t xml:space="preserve">. </w:t>
      </w:r>
    </w:p>
    <w:p w14:paraId="121EB998" w14:textId="77777777" w:rsidR="00782C16" w:rsidRPr="00DE45C1" w:rsidRDefault="00782C16" w:rsidP="004321DB">
      <w:pPr>
        <w:spacing w:after="0"/>
        <w:jc w:val="both"/>
        <w:rPr>
          <w:rFonts w:cs="Arial"/>
          <w:szCs w:val="24"/>
          <w:highlight w:val="yellow"/>
        </w:rPr>
      </w:pPr>
    </w:p>
    <w:p w14:paraId="67975525" w14:textId="21F72F59" w:rsidR="005031A0" w:rsidRPr="00DE45C1" w:rsidRDefault="005031A0" w:rsidP="00782C16">
      <w:pPr>
        <w:spacing w:after="0"/>
        <w:jc w:val="both"/>
        <w:rPr>
          <w:rFonts w:cs="Arial"/>
          <w:szCs w:val="24"/>
          <w:highlight w:val="yellow"/>
        </w:rPr>
      </w:pPr>
      <w:r w:rsidRPr="00782C16">
        <w:rPr>
          <w:rFonts w:cs="Arial"/>
          <w:szCs w:val="24"/>
        </w:rPr>
        <w:t>As part</w:t>
      </w:r>
      <w:r w:rsidR="00515C87">
        <w:rPr>
          <w:rFonts w:cs="Arial"/>
          <w:szCs w:val="24"/>
        </w:rPr>
        <w:t xml:space="preserve"> of the budget setting process d</w:t>
      </w:r>
      <w:r w:rsidRPr="00782C16">
        <w:rPr>
          <w:rFonts w:cs="Arial"/>
          <w:szCs w:val="24"/>
        </w:rPr>
        <w:t xml:space="preserve">istrict </w:t>
      </w:r>
      <w:r w:rsidR="00515C87">
        <w:rPr>
          <w:rFonts w:cs="Arial"/>
          <w:szCs w:val="24"/>
        </w:rPr>
        <w:t>c</w:t>
      </w:r>
      <w:r w:rsidRPr="00782C16">
        <w:rPr>
          <w:rFonts w:cs="Arial"/>
          <w:szCs w:val="24"/>
        </w:rPr>
        <w:t>ouncils must confirm the surplus</w:t>
      </w:r>
      <w:r w:rsidR="005D7B41">
        <w:rPr>
          <w:rFonts w:cs="Arial"/>
          <w:szCs w:val="24"/>
        </w:rPr>
        <w:t>/deficit on the business rates collection f</w:t>
      </w:r>
      <w:r w:rsidRPr="00782C16">
        <w:rPr>
          <w:rFonts w:cs="Arial"/>
          <w:szCs w:val="24"/>
        </w:rPr>
        <w:t>und by 31</w:t>
      </w:r>
      <w:r w:rsidRPr="00782C16">
        <w:rPr>
          <w:rFonts w:cs="Arial"/>
          <w:szCs w:val="24"/>
          <w:vertAlign w:val="superscript"/>
        </w:rPr>
        <w:t>st</w:t>
      </w:r>
      <w:r w:rsidRPr="00782C16">
        <w:rPr>
          <w:rFonts w:cs="Arial"/>
          <w:szCs w:val="24"/>
        </w:rPr>
        <w:t xml:space="preserve"> January 201</w:t>
      </w:r>
      <w:r w:rsidR="00782C16" w:rsidRPr="00782C16">
        <w:rPr>
          <w:rFonts w:cs="Arial"/>
          <w:szCs w:val="24"/>
        </w:rPr>
        <w:t>9</w:t>
      </w:r>
      <w:r w:rsidRPr="00782C16">
        <w:rPr>
          <w:rFonts w:cs="Arial"/>
          <w:szCs w:val="24"/>
        </w:rPr>
        <w:t xml:space="preserve">. </w:t>
      </w:r>
      <w:r w:rsidR="00F7294A">
        <w:rPr>
          <w:rFonts w:cs="Arial"/>
          <w:szCs w:val="24"/>
        </w:rPr>
        <w:t>The information received from district councils state that a surplus has been achieved on the business rates collection fund of £0.19</w:t>
      </w:r>
      <w:r w:rsidR="00515C87">
        <w:rPr>
          <w:rFonts w:cs="Arial"/>
          <w:szCs w:val="24"/>
        </w:rPr>
        <w:t>6</w:t>
      </w:r>
      <w:r w:rsidR="00F7294A">
        <w:rPr>
          <w:rFonts w:cs="Arial"/>
          <w:szCs w:val="24"/>
        </w:rPr>
        <w:t xml:space="preserve">m. This has therefore been included in the funding position for 2019/20. </w:t>
      </w:r>
    </w:p>
    <w:p w14:paraId="67396D78" w14:textId="77777777" w:rsidR="00B6280B" w:rsidRDefault="00B6280B" w:rsidP="004321DB">
      <w:pPr>
        <w:spacing w:after="0"/>
        <w:jc w:val="both"/>
        <w:rPr>
          <w:rFonts w:cs="Arial"/>
          <w:szCs w:val="24"/>
          <w:highlight w:val="yellow"/>
        </w:rPr>
      </w:pPr>
    </w:p>
    <w:p w14:paraId="6630588A" w14:textId="77777777" w:rsidR="00515C87" w:rsidRDefault="00515C87" w:rsidP="004321DB">
      <w:pPr>
        <w:spacing w:after="0"/>
        <w:jc w:val="both"/>
        <w:rPr>
          <w:rFonts w:cs="Arial"/>
          <w:szCs w:val="24"/>
          <w:highlight w:val="yellow"/>
        </w:rPr>
      </w:pPr>
    </w:p>
    <w:p w14:paraId="67C1A390" w14:textId="77777777" w:rsidR="00515C87" w:rsidRDefault="00515C87" w:rsidP="004321DB">
      <w:pPr>
        <w:spacing w:after="0"/>
        <w:jc w:val="both"/>
        <w:rPr>
          <w:rFonts w:cs="Arial"/>
          <w:szCs w:val="24"/>
          <w:highlight w:val="yellow"/>
        </w:rPr>
      </w:pPr>
    </w:p>
    <w:p w14:paraId="0AACA7B4" w14:textId="77777777" w:rsidR="00515C87" w:rsidRPr="00DE45C1" w:rsidRDefault="00515C87" w:rsidP="004321DB">
      <w:pPr>
        <w:spacing w:after="0"/>
        <w:jc w:val="both"/>
        <w:rPr>
          <w:rFonts w:cs="Arial"/>
          <w:szCs w:val="24"/>
          <w:highlight w:val="yellow"/>
        </w:rPr>
      </w:pPr>
    </w:p>
    <w:p w14:paraId="3419BB43" w14:textId="027894CD" w:rsidR="00D75FD2" w:rsidRPr="00782C16" w:rsidRDefault="00F7294A" w:rsidP="004321DB">
      <w:pPr>
        <w:spacing w:after="0"/>
        <w:jc w:val="both"/>
        <w:rPr>
          <w:rFonts w:cs="Arial"/>
          <w:i/>
          <w:szCs w:val="24"/>
        </w:rPr>
      </w:pPr>
      <w:r>
        <w:rPr>
          <w:rFonts w:cs="Arial"/>
          <w:i/>
          <w:szCs w:val="24"/>
        </w:rPr>
        <w:t>4</w:t>
      </w:r>
      <w:r w:rsidR="00317423" w:rsidRPr="00782C16">
        <w:rPr>
          <w:rFonts w:cs="Arial"/>
          <w:i/>
          <w:szCs w:val="24"/>
        </w:rPr>
        <w:t xml:space="preserve">.4 </w:t>
      </w:r>
      <w:r w:rsidR="00D75FD2" w:rsidRPr="00782C16">
        <w:rPr>
          <w:rFonts w:cs="Arial"/>
          <w:i/>
          <w:szCs w:val="24"/>
        </w:rPr>
        <w:t xml:space="preserve">Capital </w:t>
      </w:r>
      <w:r w:rsidR="00351D95" w:rsidRPr="00782C16">
        <w:rPr>
          <w:rFonts w:cs="Arial"/>
          <w:i/>
          <w:szCs w:val="24"/>
        </w:rPr>
        <w:t>r</w:t>
      </w:r>
      <w:r w:rsidR="00D75FD2" w:rsidRPr="00782C16">
        <w:rPr>
          <w:rFonts w:cs="Arial"/>
          <w:i/>
          <w:szCs w:val="24"/>
        </w:rPr>
        <w:t>eceipts</w:t>
      </w:r>
    </w:p>
    <w:p w14:paraId="5A31CAC9" w14:textId="77777777" w:rsidR="007A02AF" w:rsidRPr="00782C16" w:rsidRDefault="007A02AF" w:rsidP="004321DB">
      <w:pPr>
        <w:spacing w:after="0"/>
        <w:jc w:val="both"/>
        <w:rPr>
          <w:rFonts w:cs="Arial"/>
          <w:szCs w:val="24"/>
        </w:rPr>
      </w:pPr>
    </w:p>
    <w:p w14:paraId="64CAEC5D" w14:textId="0368178F" w:rsidR="00F606FE" w:rsidRPr="00782C16" w:rsidRDefault="00D75FD2" w:rsidP="004321DB">
      <w:pPr>
        <w:tabs>
          <w:tab w:val="left" w:pos="567"/>
          <w:tab w:val="left" w:pos="1134"/>
        </w:tabs>
        <w:spacing w:after="0"/>
        <w:jc w:val="both"/>
        <w:rPr>
          <w:rFonts w:cs="Arial"/>
          <w:szCs w:val="24"/>
        </w:rPr>
      </w:pPr>
      <w:r w:rsidRPr="00782C16">
        <w:rPr>
          <w:rFonts w:cs="Arial"/>
          <w:szCs w:val="24"/>
        </w:rPr>
        <w:t xml:space="preserve">In previous years the use of capital receipts (income derived from the sale of long term assets) has been restricted to funding capital expenditure or the repayment of debt. However, from </w:t>
      </w:r>
      <w:r w:rsidR="00852A93" w:rsidRPr="00782C16">
        <w:rPr>
          <w:rFonts w:cs="Arial"/>
          <w:szCs w:val="24"/>
        </w:rPr>
        <w:t>1</w:t>
      </w:r>
      <w:r w:rsidR="007E4110" w:rsidRPr="00782C16">
        <w:rPr>
          <w:rFonts w:cs="Arial"/>
          <w:szCs w:val="24"/>
          <w:vertAlign w:val="superscript"/>
        </w:rPr>
        <w:t>st</w:t>
      </w:r>
      <w:r w:rsidR="007E4110" w:rsidRPr="00782C16">
        <w:rPr>
          <w:rFonts w:cs="Arial"/>
          <w:szCs w:val="24"/>
        </w:rPr>
        <w:t xml:space="preserve"> </w:t>
      </w:r>
      <w:r w:rsidR="007A02AF" w:rsidRPr="00782C16">
        <w:rPr>
          <w:rFonts w:cs="Arial"/>
          <w:szCs w:val="24"/>
        </w:rPr>
        <w:t xml:space="preserve">April 2016 the Government </w:t>
      </w:r>
      <w:r w:rsidR="00B51090" w:rsidRPr="00782C16">
        <w:rPr>
          <w:rFonts w:cs="Arial"/>
          <w:szCs w:val="24"/>
        </w:rPr>
        <w:t xml:space="preserve">introduced the flexibility for </w:t>
      </w:r>
      <w:r w:rsidR="00852A93" w:rsidRPr="00782C16">
        <w:rPr>
          <w:rFonts w:cs="Arial"/>
          <w:szCs w:val="24"/>
        </w:rPr>
        <w:t xml:space="preserve">capital receipts </w:t>
      </w:r>
      <w:r w:rsidR="00B51090" w:rsidRPr="00782C16">
        <w:rPr>
          <w:rFonts w:cs="Arial"/>
          <w:szCs w:val="24"/>
        </w:rPr>
        <w:t>to</w:t>
      </w:r>
      <w:r w:rsidR="00852A93" w:rsidRPr="00782C16">
        <w:rPr>
          <w:rFonts w:cs="Arial"/>
          <w:szCs w:val="24"/>
        </w:rPr>
        <w:t xml:space="preserve"> be used to fund revenue expenditure which meets certain criteria. To meet the qualifying criteria the revenue expenditure needs to </w:t>
      </w:r>
      <w:r w:rsidR="00B51090" w:rsidRPr="00782C16">
        <w:rPr>
          <w:rFonts w:cs="Arial"/>
          <w:szCs w:val="24"/>
        </w:rPr>
        <w:t xml:space="preserve">relate to activity </w:t>
      </w:r>
      <w:r w:rsidR="00852A93" w:rsidRPr="00782C16">
        <w:rPr>
          <w:rFonts w:cs="Arial"/>
          <w:szCs w:val="24"/>
        </w:rPr>
        <w:t>which is designed to generate ongoing rev</w:t>
      </w:r>
      <w:r w:rsidR="007E4110" w:rsidRPr="00782C16">
        <w:rPr>
          <w:rFonts w:cs="Arial"/>
          <w:szCs w:val="24"/>
        </w:rPr>
        <w:t>enue savings or to transform a</w:t>
      </w:r>
      <w:r w:rsidR="00852A93" w:rsidRPr="00782C16">
        <w:rPr>
          <w:rFonts w:cs="Arial"/>
          <w:szCs w:val="24"/>
        </w:rPr>
        <w:t xml:space="preserve"> service </w:t>
      </w:r>
      <w:r w:rsidR="00482684" w:rsidRPr="00782C16">
        <w:rPr>
          <w:rFonts w:cs="Arial"/>
          <w:szCs w:val="24"/>
        </w:rPr>
        <w:t>which result</w:t>
      </w:r>
      <w:r w:rsidR="007E4110" w:rsidRPr="00782C16">
        <w:rPr>
          <w:rFonts w:cs="Arial"/>
          <w:szCs w:val="24"/>
        </w:rPr>
        <w:t>s</w:t>
      </w:r>
      <w:r w:rsidR="00482684" w:rsidRPr="00782C16">
        <w:rPr>
          <w:rFonts w:cs="Arial"/>
          <w:szCs w:val="24"/>
        </w:rPr>
        <w:t xml:space="preserve"> in</w:t>
      </w:r>
      <w:r w:rsidR="00D23FFB" w:rsidRPr="00782C16">
        <w:rPr>
          <w:rFonts w:cs="Arial"/>
          <w:szCs w:val="24"/>
        </w:rPr>
        <w:t xml:space="preserve"> </w:t>
      </w:r>
      <w:r w:rsidR="00482684" w:rsidRPr="00782C16">
        <w:rPr>
          <w:rFonts w:cs="Arial"/>
          <w:szCs w:val="24"/>
        </w:rPr>
        <w:t>revenue</w:t>
      </w:r>
      <w:r w:rsidR="00852A93" w:rsidRPr="00782C16">
        <w:rPr>
          <w:rFonts w:cs="Arial"/>
          <w:szCs w:val="24"/>
        </w:rPr>
        <w:t xml:space="preserve"> savings or improve</w:t>
      </w:r>
      <w:r w:rsidR="007E4110" w:rsidRPr="00782C16">
        <w:rPr>
          <w:rFonts w:cs="Arial"/>
          <w:szCs w:val="24"/>
        </w:rPr>
        <w:t>ments in</w:t>
      </w:r>
      <w:r w:rsidR="00782C16" w:rsidRPr="00782C16">
        <w:rPr>
          <w:rFonts w:cs="Arial"/>
          <w:szCs w:val="24"/>
        </w:rPr>
        <w:t xml:space="preserve"> the quality of </w:t>
      </w:r>
      <w:r w:rsidR="00407446">
        <w:rPr>
          <w:rFonts w:cs="Arial"/>
          <w:szCs w:val="24"/>
        </w:rPr>
        <w:t xml:space="preserve">service </w:t>
      </w:r>
      <w:r w:rsidR="00782C16" w:rsidRPr="00782C16">
        <w:rPr>
          <w:rFonts w:cs="Arial"/>
          <w:szCs w:val="24"/>
        </w:rPr>
        <w:t>provision. The flexibility was extended as part of the provisional s</w:t>
      </w:r>
      <w:r w:rsidR="00F606FE" w:rsidRPr="00782C16">
        <w:rPr>
          <w:rFonts w:cs="Arial"/>
          <w:szCs w:val="24"/>
        </w:rPr>
        <w:t xml:space="preserve">ettlement in December 2017 to help meet the revenue costs of transformation programmes </w:t>
      </w:r>
      <w:r w:rsidR="00347FF7">
        <w:rPr>
          <w:rFonts w:cs="Arial"/>
          <w:szCs w:val="24"/>
        </w:rPr>
        <w:t xml:space="preserve">and </w:t>
      </w:r>
      <w:r w:rsidR="00F606FE" w:rsidRPr="00782C16">
        <w:rPr>
          <w:rFonts w:cs="Arial"/>
          <w:szCs w:val="24"/>
        </w:rPr>
        <w:t>will continue for a further three years.</w:t>
      </w:r>
    </w:p>
    <w:p w14:paraId="021C648D" w14:textId="77777777" w:rsidR="009F7AA1" w:rsidRPr="00DE45C1" w:rsidRDefault="009F7AA1" w:rsidP="004321DB">
      <w:pPr>
        <w:tabs>
          <w:tab w:val="left" w:pos="567"/>
          <w:tab w:val="left" w:pos="1134"/>
        </w:tabs>
        <w:spacing w:after="0"/>
        <w:jc w:val="both"/>
        <w:rPr>
          <w:rFonts w:cs="Arial"/>
          <w:szCs w:val="24"/>
          <w:highlight w:val="yellow"/>
        </w:rPr>
      </w:pPr>
    </w:p>
    <w:p w14:paraId="4BA934CA" w14:textId="77777777" w:rsidR="007E4110" w:rsidRPr="00782C16" w:rsidRDefault="00852A93" w:rsidP="004321DB">
      <w:pPr>
        <w:tabs>
          <w:tab w:val="left" w:pos="567"/>
          <w:tab w:val="left" w:pos="1134"/>
        </w:tabs>
        <w:spacing w:after="0"/>
        <w:jc w:val="both"/>
        <w:rPr>
          <w:rFonts w:cs="Arial"/>
          <w:szCs w:val="24"/>
        </w:rPr>
      </w:pPr>
      <w:r w:rsidRPr="00782C16">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w:t>
      </w:r>
      <w:r w:rsidR="007E4110" w:rsidRPr="00782C16">
        <w:rPr>
          <w:rFonts w:cs="Arial"/>
          <w:szCs w:val="24"/>
        </w:rPr>
        <w:t xml:space="preserve">service </w:t>
      </w:r>
      <w:r w:rsidRPr="00782C16">
        <w:rPr>
          <w:rFonts w:cs="Arial"/>
          <w:szCs w:val="24"/>
        </w:rPr>
        <w:t xml:space="preserve">reform. </w:t>
      </w:r>
    </w:p>
    <w:p w14:paraId="355AFFED" w14:textId="77777777" w:rsidR="007E4110" w:rsidRPr="00DE45C1" w:rsidRDefault="007E4110" w:rsidP="004321DB">
      <w:pPr>
        <w:tabs>
          <w:tab w:val="left" w:pos="567"/>
          <w:tab w:val="left" w:pos="1134"/>
        </w:tabs>
        <w:spacing w:after="0"/>
        <w:jc w:val="both"/>
        <w:rPr>
          <w:rFonts w:cs="Arial"/>
          <w:szCs w:val="24"/>
          <w:highlight w:val="yellow"/>
        </w:rPr>
      </w:pPr>
    </w:p>
    <w:p w14:paraId="7F18F911" w14:textId="055F8EEE" w:rsidR="00335210" w:rsidRPr="00782C16" w:rsidRDefault="001D0484" w:rsidP="00335210">
      <w:pPr>
        <w:tabs>
          <w:tab w:val="left" w:pos="567"/>
          <w:tab w:val="left" w:pos="1134"/>
        </w:tabs>
        <w:spacing w:after="0"/>
        <w:jc w:val="both"/>
        <w:rPr>
          <w:rFonts w:cs="Arial"/>
          <w:szCs w:val="24"/>
        </w:rPr>
      </w:pPr>
      <w:r w:rsidRPr="00782C16">
        <w:rPr>
          <w:rFonts w:cs="Arial"/>
          <w:szCs w:val="24"/>
        </w:rPr>
        <w:t>The c</w:t>
      </w:r>
      <w:r w:rsidR="00852A93" w:rsidRPr="00782C16">
        <w:rPr>
          <w:rFonts w:cs="Arial"/>
          <w:szCs w:val="24"/>
        </w:rPr>
        <w:t>urrent estimates of the capital receipts to be generated</w:t>
      </w:r>
      <w:r w:rsidR="00B51090" w:rsidRPr="00782C16">
        <w:rPr>
          <w:rFonts w:cs="Arial"/>
          <w:szCs w:val="24"/>
        </w:rPr>
        <w:t>,</w:t>
      </w:r>
      <w:r w:rsidR="00852A93" w:rsidRPr="00782C16">
        <w:rPr>
          <w:rFonts w:cs="Arial"/>
          <w:szCs w:val="24"/>
        </w:rPr>
        <w:t xml:space="preserve"> </w:t>
      </w:r>
      <w:r w:rsidR="00B51090" w:rsidRPr="00782C16">
        <w:rPr>
          <w:rFonts w:cs="Arial"/>
          <w:szCs w:val="24"/>
        </w:rPr>
        <w:t xml:space="preserve">and utilised in supporting revenue expenditure, </w:t>
      </w:r>
      <w:r w:rsidR="00852A93" w:rsidRPr="00782C16">
        <w:rPr>
          <w:rFonts w:cs="Arial"/>
          <w:szCs w:val="24"/>
        </w:rPr>
        <w:t>are</w:t>
      </w:r>
      <w:r w:rsidR="007E4110" w:rsidRPr="00782C16">
        <w:rPr>
          <w:rFonts w:cs="Arial"/>
          <w:szCs w:val="24"/>
        </w:rPr>
        <w:t xml:space="preserve"> as follows</w:t>
      </w:r>
      <w:r w:rsidR="00F606FE" w:rsidRPr="00782C16">
        <w:rPr>
          <w:rFonts w:cs="Arial"/>
          <w:szCs w:val="24"/>
        </w:rPr>
        <w:t>:</w:t>
      </w:r>
    </w:p>
    <w:p w14:paraId="7C17F66F" w14:textId="77777777" w:rsidR="00335210" w:rsidRPr="005C65FC" w:rsidRDefault="00335210" w:rsidP="00335210">
      <w:pPr>
        <w:tabs>
          <w:tab w:val="left" w:pos="567"/>
          <w:tab w:val="left" w:pos="1134"/>
        </w:tabs>
        <w:spacing w:after="0"/>
        <w:jc w:val="both"/>
        <w:rPr>
          <w:rFonts w:cs="Arial"/>
          <w:szCs w:val="24"/>
        </w:rPr>
      </w:pPr>
    </w:p>
    <w:p w14:paraId="3E560ADE" w14:textId="6235EFC9" w:rsidR="00852A93" w:rsidRPr="005C65FC" w:rsidRDefault="00F606FE" w:rsidP="00335210">
      <w:pPr>
        <w:tabs>
          <w:tab w:val="left" w:pos="567"/>
          <w:tab w:val="left" w:pos="1134"/>
        </w:tabs>
        <w:spacing w:after="0"/>
        <w:jc w:val="both"/>
        <w:rPr>
          <w:rFonts w:cs="Arial"/>
          <w:b/>
          <w:szCs w:val="24"/>
          <w:u w:val="single"/>
        </w:rPr>
      </w:pPr>
      <w:r w:rsidRPr="005C65FC">
        <w:rPr>
          <w:rFonts w:cs="Arial"/>
          <w:b/>
          <w:szCs w:val="24"/>
          <w:u w:val="single"/>
        </w:rPr>
        <w:t>Table 4</w:t>
      </w:r>
    </w:p>
    <w:p w14:paraId="3EA39623" w14:textId="77777777" w:rsidR="003959B5" w:rsidRPr="005C65FC" w:rsidRDefault="003959B5" w:rsidP="00335210">
      <w:pPr>
        <w:tabs>
          <w:tab w:val="left" w:pos="567"/>
          <w:tab w:val="left" w:pos="1134"/>
        </w:tabs>
        <w:spacing w:after="0"/>
        <w:jc w:val="both"/>
        <w:rPr>
          <w:rFonts w:cs="Arial"/>
          <w:szCs w:val="24"/>
          <w:u w:val="single"/>
        </w:rPr>
      </w:pPr>
    </w:p>
    <w:tbl>
      <w:tblPr>
        <w:tblStyle w:val="TableGrid"/>
        <w:tblW w:w="0" w:type="auto"/>
        <w:jc w:val="center"/>
        <w:tblLook w:val="04A0" w:firstRow="1" w:lastRow="0" w:firstColumn="1" w:lastColumn="0" w:noHBand="0" w:noVBand="1"/>
      </w:tblPr>
      <w:tblGrid>
        <w:gridCol w:w="1816"/>
        <w:gridCol w:w="1559"/>
        <w:gridCol w:w="1559"/>
        <w:gridCol w:w="1461"/>
        <w:gridCol w:w="1185"/>
        <w:gridCol w:w="1436"/>
      </w:tblGrid>
      <w:tr w:rsidR="005C65FC" w:rsidRPr="005C65FC" w14:paraId="27A58E5A" w14:textId="77777777" w:rsidTr="005C65FC">
        <w:trPr>
          <w:trHeight w:val="275"/>
          <w:jc w:val="center"/>
        </w:trPr>
        <w:tc>
          <w:tcPr>
            <w:tcW w:w="1816" w:type="dxa"/>
            <w:shd w:val="clear" w:color="auto" w:fill="BFBFBF" w:themeFill="background1" w:themeFillShade="BF"/>
          </w:tcPr>
          <w:p w14:paraId="05EBBAF2" w14:textId="77777777" w:rsidR="005C65FC" w:rsidRPr="005C65FC" w:rsidRDefault="005C65FC" w:rsidP="004321DB">
            <w:pPr>
              <w:tabs>
                <w:tab w:val="left" w:pos="567"/>
                <w:tab w:val="left" w:pos="1134"/>
              </w:tabs>
              <w:spacing w:line="276" w:lineRule="auto"/>
              <w:jc w:val="center"/>
              <w:rPr>
                <w:rFonts w:cs="Arial"/>
                <w:b/>
                <w:szCs w:val="24"/>
              </w:rPr>
            </w:pPr>
          </w:p>
        </w:tc>
        <w:tc>
          <w:tcPr>
            <w:tcW w:w="1559" w:type="dxa"/>
            <w:shd w:val="clear" w:color="auto" w:fill="BFBFBF" w:themeFill="background1" w:themeFillShade="BF"/>
            <w:vAlign w:val="center"/>
          </w:tcPr>
          <w:p w14:paraId="3F6F96A7" w14:textId="3D7AFF53" w:rsidR="005C65FC" w:rsidRPr="005C65FC" w:rsidRDefault="005C65FC" w:rsidP="004321DB">
            <w:pPr>
              <w:tabs>
                <w:tab w:val="left" w:pos="567"/>
                <w:tab w:val="left" w:pos="1134"/>
              </w:tabs>
              <w:spacing w:line="276" w:lineRule="auto"/>
              <w:jc w:val="center"/>
              <w:rPr>
                <w:rFonts w:cs="Arial"/>
                <w:b/>
                <w:szCs w:val="24"/>
              </w:rPr>
            </w:pPr>
            <w:r w:rsidRPr="005C65FC">
              <w:rPr>
                <w:rFonts w:cs="Arial"/>
                <w:b/>
                <w:szCs w:val="24"/>
              </w:rPr>
              <w:t>2019/20</w:t>
            </w:r>
          </w:p>
          <w:p w14:paraId="36F35C1C" w14:textId="77777777" w:rsidR="005C65FC" w:rsidRPr="005C65FC" w:rsidRDefault="005C65FC" w:rsidP="004321DB">
            <w:pPr>
              <w:tabs>
                <w:tab w:val="left" w:pos="567"/>
                <w:tab w:val="left" w:pos="1134"/>
              </w:tabs>
              <w:spacing w:line="276" w:lineRule="auto"/>
              <w:jc w:val="center"/>
              <w:rPr>
                <w:rFonts w:cs="Arial"/>
                <w:b/>
                <w:szCs w:val="24"/>
              </w:rPr>
            </w:pPr>
            <w:r w:rsidRPr="005C65FC">
              <w:rPr>
                <w:rFonts w:cs="Arial"/>
                <w:b/>
                <w:szCs w:val="24"/>
              </w:rPr>
              <w:t>£m</w:t>
            </w:r>
          </w:p>
        </w:tc>
        <w:tc>
          <w:tcPr>
            <w:tcW w:w="1559" w:type="dxa"/>
            <w:shd w:val="clear" w:color="auto" w:fill="BFBFBF" w:themeFill="background1" w:themeFillShade="BF"/>
            <w:vAlign w:val="center"/>
          </w:tcPr>
          <w:p w14:paraId="3121770A" w14:textId="2B6E5D9D" w:rsidR="005C65FC" w:rsidRPr="005C65FC" w:rsidRDefault="005C65FC" w:rsidP="004321DB">
            <w:pPr>
              <w:tabs>
                <w:tab w:val="left" w:pos="567"/>
                <w:tab w:val="left" w:pos="1134"/>
              </w:tabs>
              <w:spacing w:line="276" w:lineRule="auto"/>
              <w:jc w:val="center"/>
              <w:rPr>
                <w:rFonts w:cs="Arial"/>
                <w:b/>
                <w:szCs w:val="24"/>
              </w:rPr>
            </w:pPr>
            <w:r w:rsidRPr="005C65FC">
              <w:rPr>
                <w:rFonts w:cs="Arial"/>
                <w:b/>
                <w:szCs w:val="24"/>
              </w:rPr>
              <w:t>2020/21</w:t>
            </w:r>
          </w:p>
          <w:p w14:paraId="6BE07E71" w14:textId="77777777" w:rsidR="005C65FC" w:rsidRPr="005C65FC" w:rsidRDefault="005C65FC" w:rsidP="004321DB">
            <w:pPr>
              <w:tabs>
                <w:tab w:val="left" w:pos="567"/>
                <w:tab w:val="left" w:pos="1134"/>
              </w:tabs>
              <w:spacing w:line="276" w:lineRule="auto"/>
              <w:jc w:val="center"/>
              <w:rPr>
                <w:rFonts w:cs="Arial"/>
                <w:b/>
                <w:szCs w:val="24"/>
              </w:rPr>
            </w:pPr>
            <w:r w:rsidRPr="005C65FC">
              <w:rPr>
                <w:rFonts w:cs="Arial"/>
                <w:b/>
                <w:szCs w:val="24"/>
              </w:rPr>
              <w:t>£m</w:t>
            </w:r>
          </w:p>
        </w:tc>
        <w:tc>
          <w:tcPr>
            <w:tcW w:w="1461" w:type="dxa"/>
            <w:shd w:val="clear" w:color="auto" w:fill="BFBFBF" w:themeFill="background1" w:themeFillShade="BF"/>
          </w:tcPr>
          <w:p w14:paraId="78E69B84" w14:textId="06E9E0C0" w:rsidR="005C65FC" w:rsidRPr="005C65FC" w:rsidRDefault="005C65FC" w:rsidP="004321DB">
            <w:pPr>
              <w:tabs>
                <w:tab w:val="left" w:pos="567"/>
                <w:tab w:val="left" w:pos="1134"/>
              </w:tabs>
              <w:jc w:val="center"/>
              <w:rPr>
                <w:rFonts w:cs="Arial"/>
                <w:b/>
                <w:szCs w:val="24"/>
              </w:rPr>
            </w:pPr>
            <w:r w:rsidRPr="005C65FC">
              <w:rPr>
                <w:rFonts w:cs="Arial"/>
                <w:b/>
                <w:szCs w:val="24"/>
              </w:rPr>
              <w:t>2021/22</w:t>
            </w:r>
          </w:p>
          <w:p w14:paraId="7F35CB72" w14:textId="41E903C0" w:rsidR="005C65FC" w:rsidRPr="005C65FC" w:rsidRDefault="005C65FC" w:rsidP="004321DB">
            <w:pPr>
              <w:tabs>
                <w:tab w:val="left" w:pos="567"/>
                <w:tab w:val="left" w:pos="1134"/>
              </w:tabs>
              <w:jc w:val="center"/>
              <w:rPr>
                <w:rFonts w:cs="Arial"/>
                <w:b/>
                <w:szCs w:val="24"/>
              </w:rPr>
            </w:pPr>
            <w:r w:rsidRPr="005C65FC">
              <w:rPr>
                <w:rFonts w:cs="Arial"/>
                <w:b/>
                <w:szCs w:val="24"/>
              </w:rPr>
              <w:t>£m</w:t>
            </w:r>
          </w:p>
        </w:tc>
        <w:tc>
          <w:tcPr>
            <w:tcW w:w="1185" w:type="dxa"/>
            <w:shd w:val="clear" w:color="auto" w:fill="BFBFBF" w:themeFill="background1" w:themeFillShade="BF"/>
          </w:tcPr>
          <w:p w14:paraId="16522329" w14:textId="77777777" w:rsidR="005C65FC" w:rsidRPr="005C65FC" w:rsidRDefault="005C65FC" w:rsidP="004321DB">
            <w:pPr>
              <w:tabs>
                <w:tab w:val="left" w:pos="567"/>
                <w:tab w:val="left" w:pos="1134"/>
              </w:tabs>
              <w:jc w:val="center"/>
              <w:rPr>
                <w:rFonts w:cs="Arial"/>
                <w:b/>
                <w:szCs w:val="24"/>
              </w:rPr>
            </w:pPr>
            <w:r w:rsidRPr="005C65FC">
              <w:rPr>
                <w:rFonts w:cs="Arial"/>
                <w:b/>
                <w:szCs w:val="24"/>
              </w:rPr>
              <w:t>2022/23</w:t>
            </w:r>
          </w:p>
          <w:p w14:paraId="0ED5D60B" w14:textId="681B9A62" w:rsidR="005C65FC" w:rsidRPr="005C65FC" w:rsidRDefault="005C65FC" w:rsidP="004321DB">
            <w:pPr>
              <w:tabs>
                <w:tab w:val="left" w:pos="567"/>
                <w:tab w:val="left" w:pos="1134"/>
              </w:tabs>
              <w:jc w:val="center"/>
              <w:rPr>
                <w:rFonts w:cs="Arial"/>
                <w:b/>
                <w:szCs w:val="24"/>
              </w:rPr>
            </w:pPr>
            <w:r w:rsidRPr="005C65FC">
              <w:rPr>
                <w:rFonts w:cs="Arial"/>
                <w:b/>
                <w:szCs w:val="24"/>
              </w:rPr>
              <w:t>£m</w:t>
            </w:r>
          </w:p>
        </w:tc>
        <w:tc>
          <w:tcPr>
            <w:tcW w:w="1436" w:type="dxa"/>
            <w:shd w:val="clear" w:color="auto" w:fill="BFBFBF" w:themeFill="background1" w:themeFillShade="BF"/>
            <w:vAlign w:val="center"/>
          </w:tcPr>
          <w:p w14:paraId="1E5F9DA7" w14:textId="67C5157A" w:rsidR="005C65FC" w:rsidRPr="005C65FC" w:rsidRDefault="005C65FC" w:rsidP="004321DB">
            <w:pPr>
              <w:tabs>
                <w:tab w:val="left" w:pos="567"/>
                <w:tab w:val="left" w:pos="1134"/>
              </w:tabs>
              <w:jc w:val="center"/>
              <w:rPr>
                <w:rFonts w:cs="Arial"/>
                <w:b/>
                <w:szCs w:val="24"/>
              </w:rPr>
            </w:pPr>
            <w:r w:rsidRPr="005C65FC">
              <w:rPr>
                <w:rFonts w:cs="Arial"/>
                <w:b/>
                <w:szCs w:val="24"/>
              </w:rPr>
              <w:t>Total</w:t>
            </w:r>
          </w:p>
          <w:p w14:paraId="552FD906" w14:textId="77777777" w:rsidR="005C65FC" w:rsidRPr="005C65FC" w:rsidRDefault="005C65FC" w:rsidP="004321DB">
            <w:pPr>
              <w:tabs>
                <w:tab w:val="left" w:pos="567"/>
                <w:tab w:val="left" w:pos="1134"/>
              </w:tabs>
              <w:jc w:val="center"/>
              <w:rPr>
                <w:rFonts w:cs="Arial"/>
                <w:b/>
                <w:szCs w:val="24"/>
              </w:rPr>
            </w:pPr>
            <w:r w:rsidRPr="005C65FC">
              <w:rPr>
                <w:rFonts w:cs="Arial"/>
                <w:b/>
                <w:szCs w:val="24"/>
              </w:rPr>
              <w:t>£m</w:t>
            </w:r>
          </w:p>
        </w:tc>
      </w:tr>
      <w:tr w:rsidR="005C65FC" w:rsidRPr="00DE45C1" w14:paraId="0DEF53F7" w14:textId="77777777" w:rsidTr="005C65FC">
        <w:trPr>
          <w:trHeight w:val="676"/>
          <w:jc w:val="center"/>
        </w:trPr>
        <w:tc>
          <w:tcPr>
            <w:tcW w:w="1816" w:type="dxa"/>
            <w:vAlign w:val="center"/>
          </w:tcPr>
          <w:p w14:paraId="1552DE00" w14:textId="77777777" w:rsidR="005C65FC" w:rsidRPr="005C65FC" w:rsidRDefault="005C65FC" w:rsidP="004321DB">
            <w:pPr>
              <w:tabs>
                <w:tab w:val="left" w:pos="567"/>
                <w:tab w:val="left" w:pos="1134"/>
              </w:tabs>
              <w:spacing w:line="276" w:lineRule="auto"/>
              <w:rPr>
                <w:rFonts w:cs="Arial"/>
                <w:b/>
                <w:szCs w:val="24"/>
              </w:rPr>
            </w:pPr>
            <w:r w:rsidRPr="005C65FC">
              <w:rPr>
                <w:rFonts w:cs="Arial"/>
                <w:b/>
                <w:szCs w:val="24"/>
              </w:rPr>
              <w:t>Capital receipts generated</w:t>
            </w:r>
          </w:p>
        </w:tc>
        <w:tc>
          <w:tcPr>
            <w:tcW w:w="1559" w:type="dxa"/>
            <w:vAlign w:val="center"/>
          </w:tcPr>
          <w:p w14:paraId="271B6E88" w14:textId="6AD84E43" w:rsidR="005C65FC" w:rsidRPr="005C65FC" w:rsidRDefault="005C65FC" w:rsidP="005C65FC">
            <w:pPr>
              <w:tabs>
                <w:tab w:val="left" w:pos="567"/>
                <w:tab w:val="left" w:pos="1134"/>
              </w:tabs>
              <w:spacing w:line="276" w:lineRule="auto"/>
              <w:jc w:val="right"/>
              <w:rPr>
                <w:rFonts w:cs="Arial"/>
                <w:szCs w:val="24"/>
              </w:rPr>
            </w:pPr>
            <w:r w:rsidRPr="005C65FC">
              <w:rPr>
                <w:rFonts w:cs="Arial"/>
                <w:szCs w:val="24"/>
              </w:rPr>
              <w:t>8.000</w:t>
            </w:r>
          </w:p>
        </w:tc>
        <w:tc>
          <w:tcPr>
            <w:tcW w:w="1559" w:type="dxa"/>
            <w:vAlign w:val="center"/>
          </w:tcPr>
          <w:p w14:paraId="626C2AA6" w14:textId="5277D0B4" w:rsidR="005C65FC" w:rsidRPr="005C65FC" w:rsidRDefault="00B6280B" w:rsidP="005C65FC">
            <w:pPr>
              <w:tabs>
                <w:tab w:val="left" w:pos="567"/>
                <w:tab w:val="left" w:pos="1134"/>
              </w:tabs>
              <w:spacing w:line="276" w:lineRule="auto"/>
              <w:jc w:val="right"/>
              <w:rPr>
                <w:rFonts w:cs="Arial"/>
                <w:szCs w:val="24"/>
              </w:rPr>
            </w:pPr>
            <w:r>
              <w:rPr>
                <w:rFonts w:cs="Arial"/>
                <w:szCs w:val="24"/>
              </w:rPr>
              <w:t>7</w:t>
            </w:r>
            <w:r w:rsidR="005C65FC" w:rsidRPr="005C65FC">
              <w:rPr>
                <w:rFonts w:cs="Arial"/>
                <w:szCs w:val="24"/>
              </w:rPr>
              <w:t>.000</w:t>
            </w:r>
          </w:p>
        </w:tc>
        <w:tc>
          <w:tcPr>
            <w:tcW w:w="1461" w:type="dxa"/>
            <w:vAlign w:val="center"/>
          </w:tcPr>
          <w:p w14:paraId="76EA1E8F" w14:textId="427E60AD" w:rsidR="005C65FC" w:rsidRPr="005C65FC" w:rsidRDefault="005C65FC" w:rsidP="005C65FC">
            <w:pPr>
              <w:tabs>
                <w:tab w:val="left" w:pos="567"/>
                <w:tab w:val="left" w:pos="1134"/>
              </w:tabs>
              <w:jc w:val="right"/>
              <w:rPr>
                <w:rFonts w:cs="Arial"/>
                <w:szCs w:val="24"/>
              </w:rPr>
            </w:pPr>
            <w:r w:rsidRPr="005C65FC">
              <w:rPr>
                <w:rFonts w:cs="Arial"/>
                <w:szCs w:val="24"/>
              </w:rPr>
              <w:t>0.000</w:t>
            </w:r>
          </w:p>
        </w:tc>
        <w:tc>
          <w:tcPr>
            <w:tcW w:w="1185" w:type="dxa"/>
            <w:vAlign w:val="center"/>
          </w:tcPr>
          <w:p w14:paraId="42A74983" w14:textId="054FABDC" w:rsidR="005C65FC" w:rsidRPr="005C65FC" w:rsidRDefault="005C65FC" w:rsidP="005C65FC">
            <w:pPr>
              <w:tabs>
                <w:tab w:val="left" w:pos="567"/>
                <w:tab w:val="left" w:pos="1134"/>
              </w:tabs>
              <w:jc w:val="right"/>
              <w:rPr>
                <w:rFonts w:cs="Arial"/>
                <w:szCs w:val="24"/>
              </w:rPr>
            </w:pPr>
            <w:r w:rsidRPr="005C65FC">
              <w:rPr>
                <w:rFonts w:cs="Arial"/>
                <w:szCs w:val="24"/>
              </w:rPr>
              <w:t>0.000</w:t>
            </w:r>
          </w:p>
        </w:tc>
        <w:tc>
          <w:tcPr>
            <w:tcW w:w="1436" w:type="dxa"/>
            <w:vAlign w:val="center"/>
          </w:tcPr>
          <w:p w14:paraId="6AAD1AF0" w14:textId="2125A569" w:rsidR="005C65FC" w:rsidRPr="005C65FC" w:rsidRDefault="005C65FC" w:rsidP="005C65FC">
            <w:pPr>
              <w:tabs>
                <w:tab w:val="left" w:pos="567"/>
                <w:tab w:val="left" w:pos="1134"/>
              </w:tabs>
              <w:jc w:val="right"/>
              <w:rPr>
                <w:rFonts w:cs="Arial"/>
                <w:szCs w:val="24"/>
              </w:rPr>
            </w:pPr>
            <w:r w:rsidRPr="005C65FC">
              <w:rPr>
                <w:rFonts w:cs="Arial"/>
                <w:szCs w:val="24"/>
              </w:rPr>
              <w:t>15.000</w:t>
            </w:r>
          </w:p>
        </w:tc>
      </w:tr>
    </w:tbl>
    <w:p w14:paraId="1102CA7A" w14:textId="77777777" w:rsidR="00954B44" w:rsidRPr="00DE45C1" w:rsidRDefault="00954B44" w:rsidP="004321DB">
      <w:pPr>
        <w:tabs>
          <w:tab w:val="left" w:pos="567"/>
          <w:tab w:val="left" w:pos="1134"/>
        </w:tabs>
        <w:spacing w:after="0"/>
        <w:jc w:val="both"/>
        <w:rPr>
          <w:rFonts w:cs="Arial"/>
          <w:szCs w:val="24"/>
          <w:highlight w:val="yellow"/>
        </w:rPr>
      </w:pPr>
    </w:p>
    <w:p w14:paraId="2DD91A1A" w14:textId="50267111" w:rsidR="00954B44" w:rsidRPr="005C65FC" w:rsidRDefault="00954B44" w:rsidP="00954B44">
      <w:pPr>
        <w:tabs>
          <w:tab w:val="left" w:pos="567"/>
          <w:tab w:val="left" w:pos="1134"/>
        </w:tabs>
        <w:spacing w:after="0"/>
        <w:jc w:val="both"/>
        <w:rPr>
          <w:rFonts w:cs="Arial"/>
        </w:rPr>
      </w:pPr>
      <w:r w:rsidRPr="005C65FC">
        <w:rPr>
          <w:rFonts w:cs="Arial"/>
        </w:rPr>
        <w:t xml:space="preserve">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 </w:t>
      </w:r>
      <w:r w:rsidR="00407446">
        <w:rPr>
          <w:rFonts w:cs="Arial"/>
        </w:rPr>
        <w:t>C</w:t>
      </w:r>
      <w:r w:rsidR="00347FF7">
        <w:rPr>
          <w:rFonts w:cs="Arial"/>
        </w:rPr>
        <w:t xml:space="preserve">apital </w:t>
      </w:r>
      <w:r w:rsidRPr="005C65FC">
        <w:rPr>
          <w:rFonts w:cs="Arial"/>
        </w:rPr>
        <w:t>receipts received as at 31</w:t>
      </w:r>
      <w:r w:rsidRPr="005C65FC">
        <w:rPr>
          <w:rFonts w:cs="Arial"/>
          <w:vertAlign w:val="superscript"/>
        </w:rPr>
        <w:t>st</w:t>
      </w:r>
      <w:r w:rsidRPr="005C65FC">
        <w:rPr>
          <w:rFonts w:cs="Arial"/>
        </w:rPr>
        <w:t xml:space="preserve"> December 201</w:t>
      </w:r>
      <w:r w:rsidR="005C65FC" w:rsidRPr="005C65FC">
        <w:rPr>
          <w:rFonts w:cs="Arial"/>
        </w:rPr>
        <w:t>8</w:t>
      </w:r>
      <w:r w:rsidRPr="005C65FC">
        <w:rPr>
          <w:rFonts w:cs="Arial"/>
        </w:rPr>
        <w:t xml:space="preserve"> </w:t>
      </w:r>
      <w:r w:rsidR="00EC43E8" w:rsidRPr="005C65FC">
        <w:rPr>
          <w:rFonts w:cs="Arial"/>
        </w:rPr>
        <w:t>were broadly on track to achieve the 201</w:t>
      </w:r>
      <w:r w:rsidR="005C65FC" w:rsidRPr="005C65FC">
        <w:rPr>
          <w:rFonts w:cs="Arial"/>
        </w:rPr>
        <w:t>8/19</w:t>
      </w:r>
      <w:r w:rsidR="00407446">
        <w:rPr>
          <w:rFonts w:cs="Arial"/>
        </w:rPr>
        <w:t xml:space="preserve"> target. H</w:t>
      </w:r>
      <w:r w:rsidR="00EC43E8" w:rsidRPr="005C65FC">
        <w:rPr>
          <w:rFonts w:cs="Arial"/>
        </w:rPr>
        <w:t>owever</w:t>
      </w:r>
      <w:r w:rsidR="00407446">
        <w:rPr>
          <w:rFonts w:cs="Arial"/>
        </w:rPr>
        <w:t>,</w:t>
      </w:r>
      <w:r w:rsidR="00EC43E8" w:rsidRPr="005C65FC">
        <w:rPr>
          <w:rFonts w:cs="Arial"/>
        </w:rPr>
        <w:t xml:space="preserve"> as the value has not yet been achieved this remains a risk, w</w:t>
      </w:r>
      <w:r w:rsidR="00515C87">
        <w:rPr>
          <w:rFonts w:cs="Arial"/>
        </w:rPr>
        <w:t>ith</w:t>
      </w:r>
      <w:r w:rsidR="00EC43E8" w:rsidRPr="005C65FC">
        <w:rPr>
          <w:rFonts w:cs="Arial"/>
        </w:rPr>
        <w:t xml:space="preserve"> any in year shortfall</w:t>
      </w:r>
      <w:r w:rsidR="00515C87">
        <w:rPr>
          <w:rFonts w:cs="Arial"/>
        </w:rPr>
        <w:t xml:space="preserve"> to be</w:t>
      </w:r>
      <w:r w:rsidR="00EC43E8" w:rsidRPr="005C65FC">
        <w:rPr>
          <w:rFonts w:cs="Arial"/>
        </w:rPr>
        <w:t xml:space="preserve"> met from the transitional reserve. </w:t>
      </w:r>
    </w:p>
    <w:p w14:paraId="045AD091" w14:textId="77777777" w:rsidR="00335210" w:rsidRPr="00DE45C1" w:rsidRDefault="00335210" w:rsidP="004321DB">
      <w:pPr>
        <w:tabs>
          <w:tab w:val="left" w:pos="567"/>
          <w:tab w:val="left" w:pos="1134"/>
        </w:tabs>
        <w:spacing w:after="0"/>
        <w:jc w:val="both"/>
        <w:rPr>
          <w:rFonts w:cs="Arial"/>
          <w:szCs w:val="24"/>
          <w:highlight w:val="yellow"/>
        </w:rPr>
      </w:pPr>
    </w:p>
    <w:p w14:paraId="476E036A" w14:textId="2214E84A" w:rsidR="00230220" w:rsidRPr="005C65FC" w:rsidRDefault="00D0078E" w:rsidP="00B15270">
      <w:pPr>
        <w:tabs>
          <w:tab w:val="left" w:pos="567"/>
          <w:tab w:val="left" w:pos="1134"/>
        </w:tabs>
        <w:spacing w:after="0"/>
        <w:jc w:val="both"/>
        <w:rPr>
          <w:rFonts w:cs="Arial"/>
          <w:szCs w:val="24"/>
        </w:rPr>
      </w:pPr>
      <w:r w:rsidRPr="005C65FC">
        <w:rPr>
          <w:rFonts w:cs="Arial"/>
          <w:szCs w:val="24"/>
        </w:rPr>
        <w:t>T</w:t>
      </w:r>
      <w:r w:rsidR="00D243F8" w:rsidRPr="005C65FC">
        <w:rPr>
          <w:rFonts w:cs="Arial"/>
          <w:szCs w:val="24"/>
        </w:rPr>
        <w:t>here is suitable forecast e</w:t>
      </w:r>
      <w:r w:rsidR="00852A93" w:rsidRPr="005C65FC">
        <w:rPr>
          <w:rFonts w:cs="Arial"/>
          <w:szCs w:val="24"/>
        </w:rPr>
        <w:t>xpenditu</w:t>
      </w:r>
      <w:r w:rsidR="001D0484" w:rsidRPr="005C65FC">
        <w:rPr>
          <w:rFonts w:cs="Arial"/>
          <w:szCs w:val="24"/>
        </w:rPr>
        <w:t xml:space="preserve">re within the revenue budget to </w:t>
      </w:r>
      <w:r w:rsidR="00852A93" w:rsidRPr="005C65FC">
        <w:rPr>
          <w:rFonts w:cs="Arial"/>
          <w:szCs w:val="24"/>
        </w:rPr>
        <w:t>en</w:t>
      </w:r>
      <w:r w:rsidR="005C65FC" w:rsidRPr="005C65FC">
        <w:rPr>
          <w:rFonts w:cs="Arial"/>
          <w:szCs w:val="24"/>
        </w:rPr>
        <w:t>able the estimated £8.000</w:t>
      </w:r>
      <w:r w:rsidR="007A02AF" w:rsidRPr="005C65FC">
        <w:rPr>
          <w:rFonts w:cs="Arial"/>
          <w:szCs w:val="24"/>
        </w:rPr>
        <w:t xml:space="preserve">m to be </w:t>
      </w:r>
      <w:r w:rsidR="00852A93" w:rsidRPr="005C65FC">
        <w:rPr>
          <w:rFonts w:cs="Arial"/>
          <w:szCs w:val="24"/>
        </w:rPr>
        <w:t>applied</w:t>
      </w:r>
      <w:r w:rsidR="00B15270" w:rsidRPr="005C65FC">
        <w:rPr>
          <w:rFonts w:cs="Arial"/>
          <w:szCs w:val="24"/>
        </w:rPr>
        <w:t xml:space="preserve"> in 201</w:t>
      </w:r>
      <w:r w:rsidR="005C65FC">
        <w:rPr>
          <w:rFonts w:cs="Arial"/>
          <w:szCs w:val="24"/>
        </w:rPr>
        <w:t>9/20</w:t>
      </w:r>
      <w:r w:rsidR="00852A93" w:rsidRPr="005C65FC">
        <w:rPr>
          <w:rFonts w:cs="Arial"/>
          <w:szCs w:val="24"/>
        </w:rPr>
        <w:t xml:space="preserve">. </w:t>
      </w:r>
      <w:r w:rsidR="005C65FC" w:rsidRPr="005C65FC">
        <w:rPr>
          <w:rFonts w:cs="Arial"/>
          <w:szCs w:val="24"/>
        </w:rPr>
        <w:t xml:space="preserve">As part of the service challenge process additional resources have been identified to support the transformation of services and delivery of the savings.  The assumption within the MTFS is that there will be sufficient capital receipts to meet these transformation costs over the next 2 years and therefore they will not be a draw on reserves or increase the funding gap. </w:t>
      </w:r>
      <w:r w:rsidR="000E3432" w:rsidRPr="005C65FC">
        <w:rPr>
          <w:rFonts w:cs="Arial"/>
          <w:szCs w:val="24"/>
        </w:rPr>
        <w:t>These receipts wo</w:t>
      </w:r>
      <w:r w:rsidR="005C65FC" w:rsidRPr="005C65FC">
        <w:rPr>
          <w:rFonts w:cs="Arial"/>
          <w:szCs w:val="24"/>
        </w:rPr>
        <w:t xml:space="preserve">uld normally be applied to the capital </w:t>
      </w:r>
      <w:r w:rsidR="005D7B41">
        <w:rPr>
          <w:rFonts w:cs="Arial"/>
          <w:szCs w:val="24"/>
        </w:rPr>
        <w:t xml:space="preserve">delivery </w:t>
      </w:r>
      <w:r w:rsidR="005C65FC" w:rsidRPr="005C65FC">
        <w:rPr>
          <w:rFonts w:cs="Arial"/>
          <w:szCs w:val="24"/>
        </w:rPr>
        <w:t>p</w:t>
      </w:r>
      <w:r w:rsidR="000E3432" w:rsidRPr="005C65FC">
        <w:rPr>
          <w:rFonts w:cs="Arial"/>
          <w:szCs w:val="24"/>
        </w:rPr>
        <w:t>rogramme</w:t>
      </w:r>
      <w:r w:rsidR="00723131" w:rsidRPr="005C65FC">
        <w:rPr>
          <w:rFonts w:cs="Arial"/>
          <w:szCs w:val="24"/>
        </w:rPr>
        <w:t xml:space="preserve"> and therefore the impact is to</w:t>
      </w:r>
      <w:r w:rsidR="00D243F8" w:rsidRPr="005C65FC">
        <w:rPr>
          <w:rFonts w:cs="Arial"/>
          <w:szCs w:val="24"/>
        </w:rPr>
        <w:t xml:space="preserve"> effectively </w:t>
      </w:r>
      <w:r w:rsidR="00723131" w:rsidRPr="005C65FC">
        <w:rPr>
          <w:rFonts w:cs="Arial"/>
          <w:szCs w:val="24"/>
        </w:rPr>
        <w:t>increase t</w:t>
      </w:r>
      <w:r w:rsidR="00D243F8" w:rsidRPr="005C65FC">
        <w:rPr>
          <w:rFonts w:cs="Arial"/>
          <w:szCs w:val="24"/>
        </w:rPr>
        <w:t xml:space="preserve">he level of borrowing required to support </w:t>
      </w:r>
      <w:r w:rsidR="005C65FC" w:rsidRPr="005C65FC">
        <w:rPr>
          <w:rFonts w:cs="Arial"/>
          <w:szCs w:val="24"/>
        </w:rPr>
        <w:t>the approved capital</w:t>
      </w:r>
      <w:r w:rsidR="005D7B41">
        <w:rPr>
          <w:rFonts w:cs="Arial"/>
          <w:szCs w:val="24"/>
        </w:rPr>
        <w:t xml:space="preserve"> delivery </w:t>
      </w:r>
      <w:r w:rsidR="005C65FC" w:rsidRPr="005C65FC">
        <w:rPr>
          <w:rFonts w:cs="Arial"/>
          <w:szCs w:val="24"/>
        </w:rPr>
        <w:t>p</w:t>
      </w:r>
      <w:r w:rsidR="00B15270" w:rsidRPr="005C65FC">
        <w:rPr>
          <w:rFonts w:cs="Arial"/>
          <w:szCs w:val="24"/>
        </w:rPr>
        <w:t>rogramme.</w:t>
      </w:r>
      <w:r w:rsidR="00114287" w:rsidRPr="005C65FC">
        <w:rPr>
          <w:rFonts w:cs="Arial"/>
          <w:szCs w:val="24"/>
        </w:rPr>
        <w:t xml:space="preserve"> </w:t>
      </w:r>
    </w:p>
    <w:p w14:paraId="32F71B45" w14:textId="77777777" w:rsidR="00114287" w:rsidRPr="00DE45C1" w:rsidRDefault="00114287" w:rsidP="00B15270">
      <w:pPr>
        <w:tabs>
          <w:tab w:val="left" w:pos="567"/>
          <w:tab w:val="left" w:pos="1134"/>
        </w:tabs>
        <w:spacing w:after="0"/>
        <w:jc w:val="both"/>
        <w:rPr>
          <w:rFonts w:cs="Arial"/>
          <w:szCs w:val="24"/>
          <w:highlight w:val="yellow"/>
        </w:rPr>
      </w:pPr>
    </w:p>
    <w:p w14:paraId="7D9FEC93" w14:textId="36E35E4E" w:rsidR="00114287" w:rsidRPr="005C65FC" w:rsidRDefault="00114287" w:rsidP="00114287">
      <w:pPr>
        <w:tabs>
          <w:tab w:val="left" w:pos="567"/>
          <w:tab w:val="left" w:pos="1134"/>
        </w:tabs>
        <w:spacing w:after="0"/>
        <w:jc w:val="both"/>
        <w:rPr>
          <w:rFonts w:cs="Arial"/>
          <w:szCs w:val="24"/>
        </w:rPr>
      </w:pPr>
      <w:r w:rsidRPr="005C65FC">
        <w:rPr>
          <w:rFonts w:cs="Arial"/>
          <w:szCs w:val="24"/>
        </w:rPr>
        <w:t>The capital receipts in 201</w:t>
      </w:r>
      <w:r w:rsidR="005C65FC" w:rsidRPr="005C65FC">
        <w:rPr>
          <w:rFonts w:cs="Arial"/>
          <w:szCs w:val="24"/>
        </w:rPr>
        <w:t>9/20</w:t>
      </w:r>
      <w:r w:rsidRPr="005C65FC">
        <w:rPr>
          <w:rFonts w:cs="Arial"/>
          <w:szCs w:val="24"/>
        </w:rPr>
        <w:t xml:space="preserve"> will be applied to the following areas</w:t>
      </w:r>
      <w:r w:rsidR="00515C87">
        <w:rPr>
          <w:rFonts w:cs="Arial"/>
          <w:szCs w:val="24"/>
        </w:rPr>
        <w:t xml:space="preserve"> (shown in Table 5</w:t>
      </w:r>
      <w:r w:rsidR="004B3701" w:rsidRPr="005C65FC">
        <w:rPr>
          <w:rFonts w:cs="Arial"/>
          <w:szCs w:val="24"/>
        </w:rPr>
        <w:t>)</w:t>
      </w:r>
      <w:r w:rsidRPr="005C65FC">
        <w:rPr>
          <w:rFonts w:cs="Arial"/>
          <w:szCs w:val="24"/>
        </w:rPr>
        <w:t xml:space="preserve"> to generate ongoing revenue savings or to transform a service which results in revenue savings or improvements in the quality of provision.</w:t>
      </w:r>
    </w:p>
    <w:p w14:paraId="131A621A" w14:textId="77777777" w:rsidR="005C65FC" w:rsidRPr="00DE45C1" w:rsidRDefault="005C65FC" w:rsidP="00114287">
      <w:pPr>
        <w:tabs>
          <w:tab w:val="left" w:pos="567"/>
          <w:tab w:val="left" w:pos="1134"/>
        </w:tabs>
        <w:spacing w:after="0"/>
        <w:jc w:val="both"/>
        <w:rPr>
          <w:rFonts w:cs="Arial"/>
          <w:szCs w:val="24"/>
          <w:highlight w:val="yellow"/>
        </w:rPr>
      </w:pPr>
    </w:p>
    <w:p w14:paraId="13974EC9" w14:textId="4CA9DBE2" w:rsidR="004B3701" w:rsidRPr="000C3CC5" w:rsidRDefault="00F7294A" w:rsidP="00114287">
      <w:pPr>
        <w:tabs>
          <w:tab w:val="left" w:pos="567"/>
          <w:tab w:val="left" w:pos="1134"/>
        </w:tabs>
        <w:spacing w:after="0"/>
        <w:jc w:val="both"/>
        <w:rPr>
          <w:rFonts w:cs="Arial"/>
          <w:b/>
          <w:szCs w:val="24"/>
          <w:u w:val="single"/>
        </w:rPr>
      </w:pPr>
      <w:r>
        <w:rPr>
          <w:rFonts w:cs="Arial"/>
          <w:b/>
          <w:szCs w:val="24"/>
          <w:u w:val="single"/>
        </w:rPr>
        <w:t>Table 5</w:t>
      </w:r>
      <w:r w:rsidR="004B3701" w:rsidRPr="000C3CC5">
        <w:rPr>
          <w:rFonts w:cs="Arial"/>
          <w:b/>
          <w:szCs w:val="24"/>
          <w:u w:val="single"/>
        </w:rPr>
        <w:t xml:space="preserve"> </w:t>
      </w:r>
    </w:p>
    <w:p w14:paraId="1DCA3452" w14:textId="77777777" w:rsidR="004B3701" w:rsidRPr="000C3CC5" w:rsidRDefault="004B3701" w:rsidP="00114287">
      <w:pPr>
        <w:tabs>
          <w:tab w:val="left" w:pos="567"/>
          <w:tab w:val="left" w:pos="1134"/>
        </w:tabs>
        <w:spacing w:after="0"/>
        <w:jc w:val="both"/>
        <w:rPr>
          <w:rFonts w:cs="Arial"/>
          <w:szCs w:val="24"/>
        </w:rPr>
      </w:pPr>
    </w:p>
    <w:tbl>
      <w:tblPr>
        <w:tblStyle w:val="TableGrid19"/>
        <w:tblW w:w="0" w:type="auto"/>
        <w:tblLook w:val="04A0" w:firstRow="1" w:lastRow="0" w:firstColumn="1" w:lastColumn="0" w:noHBand="0" w:noVBand="1"/>
      </w:tblPr>
      <w:tblGrid>
        <w:gridCol w:w="7508"/>
        <w:gridCol w:w="1508"/>
      </w:tblGrid>
      <w:tr w:rsidR="004B3701" w:rsidRPr="000C3CC5" w14:paraId="2FEB3CDB" w14:textId="77777777" w:rsidTr="00FE5CF3">
        <w:trPr>
          <w:trHeight w:val="394"/>
        </w:trPr>
        <w:tc>
          <w:tcPr>
            <w:tcW w:w="7508" w:type="dxa"/>
          </w:tcPr>
          <w:p w14:paraId="789050DC" w14:textId="77777777" w:rsidR="004B3701" w:rsidRPr="000C3CC5" w:rsidRDefault="004B3701" w:rsidP="004B3701">
            <w:pPr>
              <w:tabs>
                <w:tab w:val="left" w:pos="567"/>
                <w:tab w:val="left" w:pos="1134"/>
              </w:tabs>
              <w:jc w:val="both"/>
              <w:rPr>
                <w:rFonts w:cs="Arial"/>
                <w:b/>
                <w:szCs w:val="24"/>
              </w:rPr>
            </w:pPr>
            <w:r w:rsidRPr="000C3CC5">
              <w:rPr>
                <w:rFonts w:cs="Arial"/>
                <w:b/>
                <w:szCs w:val="24"/>
              </w:rPr>
              <w:t>Service Area</w:t>
            </w:r>
          </w:p>
        </w:tc>
        <w:tc>
          <w:tcPr>
            <w:tcW w:w="1508" w:type="dxa"/>
          </w:tcPr>
          <w:p w14:paraId="537AFA90" w14:textId="77777777" w:rsidR="004B3701" w:rsidRPr="000C3CC5" w:rsidRDefault="004B3701" w:rsidP="00FE5CF3">
            <w:pPr>
              <w:tabs>
                <w:tab w:val="left" w:pos="567"/>
                <w:tab w:val="left" w:pos="1134"/>
              </w:tabs>
              <w:jc w:val="right"/>
              <w:rPr>
                <w:rFonts w:cs="Arial"/>
                <w:b/>
                <w:szCs w:val="24"/>
              </w:rPr>
            </w:pPr>
            <w:r w:rsidRPr="000C3CC5">
              <w:rPr>
                <w:rFonts w:cs="Arial"/>
                <w:b/>
                <w:szCs w:val="24"/>
              </w:rPr>
              <w:t>Value (£m)</w:t>
            </w:r>
          </w:p>
        </w:tc>
      </w:tr>
      <w:tr w:rsidR="004B3701" w:rsidRPr="00DE45C1" w14:paraId="32EB2B84" w14:textId="77777777" w:rsidTr="00FE5CF3">
        <w:tc>
          <w:tcPr>
            <w:tcW w:w="7508" w:type="dxa"/>
          </w:tcPr>
          <w:p w14:paraId="6E8A6F87" w14:textId="59FE9D9F" w:rsidR="004B3701" w:rsidRPr="000C3CC5" w:rsidRDefault="000C3CC5" w:rsidP="004B3701">
            <w:pPr>
              <w:tabs>
                <w:tab w:val="left" w:pos="567"/>
                <w:tab w:val="left" w:pos="1134"/>
              </w:tabs>
              <w:jc w:val="both"/>
              <w:rPr>
                <w:rFonts w:cs="Arial"/>
                <w:szCs w:val="24"/>
              </w:rPr>
            </w:pPr>
            <w:r w:rsidRPr="000C3CC5">
              <w:rPr>
                <w:rFonts w:cs="Arial"/>
                <w:szCs w:val="24"/>
              </w:rPr>
              <w:t>Business Intelligence</w:t>
            </w:r>
          </w:p>
        </w:tc>
        <w:tc>
          <w:tcPr>
            <w:tcW w:w="1508" w:type="dxa"/>
          </w:tcPr>
          <w:p w14:paraId="4FE5834E" w14:textId="17F1AFC9" w:rsidR="004B3701" w:rsidRPr="000C3CC5" w:rsidRDefault="000C3CC5" w:rsidP="00FE5CF3">
            <w:pPr>
              <w:tabs>
                <w:tab w:val="left" w:pos="567"/>
                <w:tab w:val="left" w:pos="1134"/>
              </w:tabs>
              <w:jc w:val="right"/>
              <w:rPr>
                <w:rFonts w:cs="Arial"/>
                <w:szCs w:val="24"/>
              </w:rPr>
            </w:pPr>
            <w:r w:rsidRPr="000C3CC5">
              <w:rPr>
                <w:rFonts w:cs="Arial"/>
                <w:szCs w:val="24"/>
              </w:rPr>
              <w:t>0.353</w:t>
            </w:r>
          </w:p>
        </w:tc>
      </w:tr>
      <w:tr w:rsidR="000C3CC5" w:rsidRPr="00DE45C1" w14:paraId="293E92B8" w14:textId="77777777" w:rsidTr="00FE5CF3">
        <w:tc>
          <w:tcPr>
            <w:tcW w:w="7508" w:type="dxa"/>
          </w:tcPr>
          <w:p w14:paraId="54D38BED" w14:textId="27D84CEB" w:rsidR="000C3CC5" w:rsidRPr="000C3CC5" w:rsidRDefault="000C3CC5" w:rsidP="004B3701">
            <w:pPr>
              <w:tabs>
                <w:tab w:val="left" w:pos="567"/>
                <w:tab w:val="left" w:pos="1134"/>
              </w:tabs>
              <w:jc w:val="both"/>
              <w:rPr>
                <w:rFonts w:cs="Arial"/>
                <w:szCs w:val="24"/>
              </w:rPr>
            </w:pPr>
            <w:r>
              <w:rPr>
                <w:rFonts w:cs="Arial"/>
                <w:szCs w:val="24"/>
              </w:rPr>
              <w:t>Core Business System Transformation</w:t>
            </w:r>
          </w:p>
        </w:tc>
        <w:tc>
          <w:tcPr>
            <w:tcW w:w="1508" w:type="dxa"/>
          </w:tcPr>
          <w:p w14:paraId="52ABF0B8" w14:textId="54FA77F1" w:rsidR="000C3CC5" w:rsidRPr="000C3CC5" w:rsidRDefault="000C3CC5" w:rsidP="00FE5CF3">
            <w:pPr>
              <w:tabs>
                <w:tab w:val="left" w:pos="567"/>
                <w:tab w:val="left" w:pos="1134"/>
              </w:tabs>
              <w:jc w:val="right"/>
              <w:rPr>
                <w:rFonts w:cs="Arial"/>
                <w:szCs w:val="24"/>
              </w:rPr>
            </w:pPr>
            <w:r>
              <w:rPr>
                <w:rFonts w:cs="Arial"/>
                <w:szCs w:val="24"/>
              </w:rPr>
              <w:t>0.981</w:t>
            </w:r>
          </w:p>
        </w:tc>
      </w:tr>
      <w:tr w:rsidR="004B3701" w:rsidRPr="00DE45C1" w14:paraId="41EA4577" w14:textId="77777777" w:rsidTr="00FE5CF3">
        <w:tc>
          <w:tcPr>
            <w:tcW w:w="7508" w:type="dxa"/>
          </w:tcPr>
          <w:p w14:paraId="02F13B2D" w14:textId="2DF16F63" w:rsidR="004B3701" w:rsidRPr="000C3CC5" w:rsidRDefault="000C3CC5" w:rsidP="000C633A">
            <w:pPr>
              <w:tabs>
                <w:tab w:val="left" w:pos="567"/>
                <w:tab w:val="left" w:pos="1134"/>
              </w:tabs>
              <w:jc w:val="both"/>
              <w:rPr>
                <w:rFonts w:cs="Arial"/>
                <w:szCs w:val="24"/>
              </w:rPr>
            </w:pPr>
            <w:r w:rsidRPr="000C3CC5">
              <w:rPr>
                <w:rFonts w:cs="Arial"/>
                <w:szCs w:val="24"/>
              </w:rPr>
              <w:t>Customer Access</w:t>
            </w:r>
          </w:p>
        </w:tc>
        <w:tc>
          <w:tcPr>
            <w:tcW w:w="1508" w:type="dxa"/>
          </w:tcPr>
          <w:p w14:paraId="7B77E71D" w14:textId="224AF9BD" w:rsidR="004B3701" w:rsidRPr="000C3CC5" w:rsidRDefault="000C3CC5" w:rsidP="00FE5CF3">
            <w:pPr>
              <w:tabs>
                <w:tab w:val="left" w:pos="567"/>
                <w:tab w:val="left" w:pos="1134"/>
              </w:tabs>
              <w:jc w:val="right"/>
              <w:rPr>
                <w:rFonts w:cs="Arial"/>
                <w:szCs w:val="24"/>
              </w:rPr>
            </w:pPr>
            <w:r w:rsidRPr="000C3CC5">
              <w:rPr>
                <w:rFonts w:cs="Arial"/>
                <w:szCs w:val="24"/>
              </w:rPr>
              <w:t>0.120</w:t>
            </w:r>
          </w:p>
        </w:tc>
      </w:tr>
      <w:tr w:rsidR="004B3701" w:rsidRPr="00DE45C1" w14:paraId="4E05D147" w14:textId="77777777" w:rsidTr="00FE5CF3">
        <w:tc>
          <w:tcPr>
            <w:tcW w:w="7508" w:type="dxa"/>
          </w:tcPr>
          <w:p w14:paraId="5377AF6F" w14:textId="308B360A" w:rsidR="004B3701" w:rsidRPr="000C3CC5" w:rsidRDefault="000C3CC5" w:rsidP="004B3701">
            <w:pPr>
              <w:tabs>
                <w:tab w:val="left" w:pos="567"/>
                <w:tab w:val="left" w:pos="1134"/>
              </w:tabs>
              <w:jc w:val="both"/>
              <w:rPr>
                <w:rFonts w:cs="Arial"/>
                <w:szCs w:val="24"/>
              </w:rPr>
            </w:pPr>
            <w:r w:rsidRPr="000C3CC5">
              <w:rPr>
                <w:rFonts w:cs="Arial"/>
                <w:szCs w:val="24"/>
              </w:rPr>
              <w:t>Disability Services (Adults)</w:t>
            </w:r>
          </w:p>
        </w:tc>
        <w:tc>
          <w:tcPr>
            <w:tcW w:w="1508" w:type="dxa"/>
          </w:tcPr>
          <w:p w14:paraId="319220EC" w14:textId="67A4DBAC" w:rsidR="004B3701" w:rsidRPr="000C3CC5" w:rsidRDefault="000C3CC5" w:rsidP="00FE5CF3">
            <w:pPr>
              <w:tabs>
                <w:tab w:val="left" w:pos="567"/>
                <w:tab w:val="left" w:pos="1134"/>
              </w:tabs>
              <w:jc w:val="right"/>
              <w:rPr>
                <w:rFonts w:cs="Arial"/>
                <w:szCs w:val="24"/>
              </w:rPr>
            </w:pPr>
            <w:r w:rsidRPr="000C3CC5">
              <w:rPr>
                <w:rFonts w:cs="Arial"/>
                <w:szCs w:val="24"/>
              </w:rPr>
              <w:t>0.110</w:t>
            </w:r>
          </w:p>
        </w:tc>
      </w:tr>
      <w:tr w:rsidR="004B3701" w:rsidRPr="00DE45C1" w14:paraId="69D3F870" w14:textId="77777777" w:rsidTr="00FE5CF3">
        <w:tc>
          <w:tcPr>
            <w:tcW w:w="7508" w:type="dxa"/>
            <w:shd w:val="clear" w:color="auto" w:fill="auto"/>
          </w:tcPr>
          <w:p w14:paraId="503A7EF0" w14:textId="3A8C3E9C" w:rsidR="004B3701" w:rsidRPr="000C3CC5" w:rsidRDefault="000C3CC5" w:rsidP="004B3701">
            <w:pPr>
              <w:tabs>
                <w:tab w:val="left" w:pos="567"/>
                <w:tab w:val="left" w:pos="1134"/>
              </w:tabs>
              <w:jc w:val="both"/>
              <w:rPr>
                <w:rFonts w:cs="Arial"/>
                <w:szCs w:val="24"/>
              </w:rPr>
            </w:pPr>
            <w:r w:rsidRPr="000C3CC5">
              <w:rPr>
                <w:rFonts w:cs="Arial"/>
                <w:szCs w:val="24"/>
              </w:rPr>
              <w:t>Exchequer Services</w:t>
            </w:r>
          </w:p>
        </w:tc>
        <w:tc>
          <w:tcPr>
            <w:tcW w:w="1508" w:type="dxa"/>
            <w:shd w:val="clear" w:color="auto" w:fill="auto"/>
          </w:tcPr>
          <w:p w14:paraId="6F249779" w14:textId="314ABA71" w:rsidR="004B3701" w:rsidRPr="000C3CC5" w:rsidRDefault="000C3CC5" w:rsidP="00FE5CF3">
            <w:pPr>
              <w:tabs>
                <w:tab w:val="left" w:pos="567"/>
                <w:tab w:val="left" w:pos="1134"/>
              </w:tabs>
              <w:jc w:val="right"/>
              <w:rPr>
                <w:rFonts w:cs="Arial"/>
                <w:szCs w:val="24"/>
              </w:rPr>
            </w:pPr>
            <w:r w:rsidRPr="000C3CC5">
              <w:rPr>
                <w:rFonts w:cs="Arial"/>
                <w:szCs w:val="24"/>
              </w:rPr>
              <w:t>0.349</w:t>
            </w:r>
          </w:p>
        </w:tc>
      </w:tr>
      <w:tr w:rsidR="004B3701" w:rsidRPr="00DE45C1" w14:paraId="4A1C78A0" w14:textId="77777777" w:rsidTr="00FE5CF3">
        <w:tc>
          <w:tcPr>
            <w:tcW w:w="7508" w:type="dxa"/>
          </w:tcPr>
          <w:p w14:paraId="03EEC7B8" w14:textId="1ADF5DBD" w:rsidR="004B3701" w:rsidRPr="000C3CC5" w:rsidRDefault="000C3CC5" w:rsidP="00E86510">
            <w:pPr>
              <w:tabs>
                <w:tab w:val="left" w:pos="567"/>
                <w:tab w:val="left" w:pos="1134"/>
              </w:tabs>
              <w:jc w:val="both"/>
              <w:rPr>
                <w:rFonts w:cs="Arial"/>
                <w:szCs w:val="24"/>
              </w:rPr>
            </w:pPr>
            <w:r w:rsidRPr="000C3CC5">
              <w:rPr>
                <w:rFonts w:cs="Arial"/>
                <w:szCs w:val="24"/>
              </w:rPr>
              <w:t>Financial Management (Development and Schools)</w:t>
            </w:r>
          </w:p>
        </w:tc>
        <w:tc>
          <w:tcPr>
            <w:tcW w:w="1508" w:type="dxa"/>
          </w:tcPr>
          <w:p w14:paraId="7A7087F3" w14:textId="061BE997" w:rsidR="004B3701" w:rsidRPr="000C3CC5" w:rsidRDefault="000C3CC5" w:rsidP="00FE5CF3">
            <w:pPr>
              <w:tabs>
                <w:tab w:val="left" w:pos="567"/>
                <w:tab w:val="left" w:pos="1134"/>
              </w:tabs>
              <w:jc w:val="right"/>
              <w:rPr>
                <w:rFonts w:cs="Arial"/>
                <w:szCs w:val="24"/>
              </w:rPr>
            </w:pPr>
            <w:r w:rsidRPr="000C3CC5">
              <w:rPr>
                <w:rFonts w:cs="Arial"/>
                <w:szCs w:val="24"/>
              </w:rPr>
              <w:t>0.082</w:t>
            </w:r>
          </w:p>
        </w:tc>
      </w:tr>
      <w:tr w:rsidR="000C3CC5" w:rsidRPr="00DE45C1" w14:paraId="7FDB8111" w14:textId="77777777" w:rsidTr="00FE5CF3">
        <w:tc>
          <w:tcPr>
            <w:tcW w:w="7508" w:type="dxa"/>
          </w:tcPr>
          <w:p w14:paraId="23ECA98C" w14:textId="0DCB7ACE" w:rsidR="000C3CC5" w:rsidRPr="000C3CC5" w:rsidRDefault="000C3CC5" w:rsidP="00E86510">
            <w:pPr>
              <w:tabs>
                <w:tab w:val="left" w:pos="567"/>
                <w:tab w:val="left" w:pos="1134"/>
              </w:tabs>
              <w:jc w:val="both"/>
              <w:rPr>
                <w:rFonts w:cs="Arial"/>
                <w:szCs w:val="24"/>
              </w:rPr>
            </w:pPr>
            <w:r>
              <w:rPr>
                <w:rFonts w:cs="Arial"/>
                <w:szCs w:val="24"/>
              </w:rPr>
              <w:t>Financial Management (Operational)</w:t>
            </w:r>
          </w:p>
        </w:tc>
        <w:tc>
          <w:tcPr>
            <w:tcW w:w="1508" w:type="dxa"/>
          </w:tcPr>
          <w:p w14:paraId="4931356D" w14:textId="5232EE34" w:rsidR="000C3CC5" w:rsidRPr="000C3CC5" w:rsidRDefault="000C3CC5" w:rsidP="00FE5CF3">
            <w:pPr>
              <w:tabs>
                <w:tab w:val="left" w:pos="567"/>
                <w:tab w:val="left" w:pos="1134"/>
              </w:tabs>
              <w:jc w:val="right"/>
              <w:rPr>
                <w:rFonts w:cs="Arial"/>
                <w:szCs w:val="24"/>
              </w:rPr>
            </w:pPr>
            <w:r>
              <w:rPr>
                <w:rFonts w:cs="Arial"/>
                <w:szCs w:val="24"/>
              </w:rPr>
              <w:t>0.425</w:t>
            </w:r>
          </w:p>
        </w:tc>
      </w:tr>
      <w:tr w:rsidR="004B3701" w:rsidRPr="00DE45C1" w14:paraId="15B0316A" w14:textId="77777777" w:rsidTr="00FE5CF3">
        <w:tc>
          <w:tcPr>
            <w:tcW w:w="7508" w:type="dxa"/>
          </w:tcPr>
          <w:p w14:paraId="414C7C00" w14:textId="77DCF5BB" w:rsidR="004B3701" w:rsidRPr="000C3CC5" w:rsidRDefault="000C3CC5" w:rsidP="004B3701">
            <w:pPr>
              <w:tabs>
                <w:tab w:val="left" w:pos="567"/>
                <w:tab w:val="left" w:pos="1134"/>
              </w:tabs>
              <w:jc w:val="both"/>
              <w:rPr>
                <w:rFonts w:cs="Arial"/>
                <w:szCs w:val="24"/>
              </w:rPr>
            </w:pPr>
            <w:r w:rsidRPr="000C3CC5">
              <w:rPr>
                <w:rFonts w:cs="Arial"/>
                <w:szCs w:val="24"/>
              </w:rPr>
              <w:t>Fostering, Adoption, Residential and YOT</w:t>
            </w:r>
          </w:p>
        </w:tc>
        <w:tc>
          <w:tcPr>
            <w:tcW w:w="1508" w:type="dxa"/>
          </w:tcPr>
          <w:p w14:paraId="2E3DD8BA" w14:textId="72CC09C1" w:rsidR="004B3701" w:rsidRPr="000C3CC5" w:rsidRDefault="000C3CC5" w:rsidP="00FE5CF3">
            <w:pPr>
              <w:tabs>
                <w:tab w:val="left" w:pos="567"/>
                <w:tab w:val="left" w:pos="1134"/>
              </w:tabs>
              <w:jc w:val="right"/>
              <w:rPr>
                <w:rFonts w:cs="Arial"/>
                <w:szCs w:val="24"/>
              </w:rPr>
            </w:pPr>
            <w:r w:rsidRPr="000C3CC5">
              <w:rPr>
                <w:rFonts w:cs="Arial"/>
                <w:szCs w:val="24"/>
              </w:rPr>
              <w:t>0.124</w:t>
            </w:r>
          </w:p>
        </w:tc>
      </w:tr>
      <w:tr w:rsidR="004B3701" w:rsidRPr="00DE45C1" w14:paraId="78586D59" w14:textId="77777777" w:rsidTr="00FE5CF3">
        <w:tc>
          <w:tcPr>
            <w:tcW w:w="7508" w:type="dxa"/>
          </w:tcPr>
          <w:p w14:paraId="062961C4" w14:textId="2CCF6913" w:rsidR="004B3701" w:rsidRPr="000C3CC5" w:rsidRDefault="000C3CC5" w:rsidP="004B3701">
            <w:pPr>
              <w:tabs>
                <w:tab w:val="left" w:pos="567"/>
                <w:tab w:val="left" w:pos="1134"/>
              </w:tabs>
              <w:jc w:val="both"/>
              <w:rPr>
                <w:rFonts w:cs="Arial"/>
                <w:szCs w:val="24"/>
              </w:rPr>
            </w:pPr>
            <w:r w:rsidRPr="000C3CC5">
              <w:rPr>
                <w:rFonts w:cs="Arial"/>
                <w:szCs w:val="24"/>
              </w:rPr>
              <w:t>Health, Equity and Welfare Partnerships</w:t>
            </w:r>
          </w:p>
        </w:tc>
        <w:tc>
          <w:tcPr>
            <w:tcW w:w="1508" w:type="dxa"/>
          </w:tcPr>
          <w:p w14:paraId="7C98433D" w14:textId="2BFECD41" w:rsidR="004B3701" w:rsidRPr="000C3CC5" w:rsidRDefault="000C3CC5" w:rsidP="00FE5CF3">
            <w:pPr>
              <w:tabs>
                <w:tab w:val="left" w:pos="567"/>
                <w:tab w:val="left" w:pos="1134"/>
              </w:tabs>
              <w:jc w:val="right"/>
              <w:rPr>
                <w:rFonts w:cs="Arial"/>
                <w:szCs w:val="24"/>
              </w:rPr>
            </w:pPr>
            <w:r w:rsidRPr="000C3CC5">
              <w:rPr>
                <w:rFonts w:cs="Arial"/>
                <w:szCs w:val="24"/>
              </w:rPr>
              <w:t>0.500</w:t>
            </w:r>
          </w:p>
        </w:tc>
      </w:tr>
      <w:tr w:rsidR="00803C35" w:rsidRPr="00DE45C1" w14:paraId="3C0E0546" w14:textId="77777777" w:rsidTr="00FE5CF3">
        <w:tc>
          <w:tcPr>
            <w:tcW w:w="7508" w:type="dxa"/>
          </w:tcPr>
          <w:p w14:paraId="090352D2" w14:textId="6914F7CC" w:rsidR="00803C35" w:rsidRPr="000C3CC5" w:rsidRDefault="000C3CC5" w:rsidP="004B3701">
            <w:pPr>
              <w:tabs>
                <w:tab w:val="left" w:pos="567"/>
                <w:tab w:val="left" w:pos="1134"/>
              </w:tabs>
              <w:jc w:val="both"/>
              <w:rPr>
                <w:rFonts w:cs="Arial"/>
                <w:szCs w:val="24"/>
              </w:rPr>
            </w:pPr>
            <w:r w:rsidRPr="000C3CC5">
              <w:rPr>
                <w:rFonts w:cs="Arial"/>
                <w:szCs w:val="24"/>
              </w:rPr>
              <w:t>Highways</w:t>
            </w:r>
          </w:p>
        </w:tc>
        <w:tc>
          <w:tcPr>
            <w:tcW w:w="1508" w:type="dxa"/>
          </w:tcPr>
          <w:p w14:paraId="5F8CEA86" w14:textId="369205ED" w:rsidR="00803C35" w:rsidRPr="000C3CC5" w:rsidRDefault="000C3CC5" w:rsidP="00FE5CF3">
            <w:pPr>
              <w:tabs>
                <w:tab w:val="left" w:pos="567"/>
                <w:tab w:val="left" w:pos="1134"/>
              </w:tabs>
              <w:jc w:val="right"/>
              <w:rPr>
                <w:rFonts w:cs="Arial"/>
                <w:szCs w:val="24"/>
              </w:rPr>
            </w:pPr>
            <w:r w:rsidRPr="000C3CC5">
              <w:rPr>
                <w:rFonts w:cs="Arial"/>
                <w:szCs w:val="24"/>
              </w:rPr>
              <w:t>0.114</w:t>
            </w:r>
          </w:p>
        </w:tc>
      </w:tr>
      <w:tr w:rsidR="00661CF7" w:rsidRPr="000C3CC5" w14:paraId="03C69374" w14:textId="77777777" w:rsidTr="00FE5CF3">
        <w:tc>
          <w:tcPr>
            <w:tcW w:w="7508" w:type="dxa"/>
          </w:tcPr>
          <w:p w14:paraId="7D0CFC96" w14:textId="44C7C365" w:rsidR="00661CF7" w:rsidRPr="000C3CC5" w:rsidRDefault="000C3CC5" w:rsidP="004B3701">
            <w:pPr>
              <w:tabs>
                <w:tab w:val="left" w:pos="567"/>
                <w:tab w:val="left" w:pos="1134"/>
              </w:tabs>
              <w:jc w:val="both"/>
              <w:rPr>
                <w:rFonts w:cs="Arial"/>
                <w:szCs w:val="24"/>
              </w:rPr>
            </w:pPr>
            <w:r w:rsidRPr="000C3CC5">
              <w:rPr>
                <w:rFonts w:cs="Arial"/>
                <w:szCs w:val="24"/>
              </w:rPr>
              <w:t>Learning Disabilities, Autism &amp; Mental Health</w:t>
            </w:r>
          </w:p>
        </w:tc>
        <w:tc>
          <w:tcPr>
            <w:tcW w:w="1508" w:type="dxa"/>
          </w:tcPr>
          <w:p w14:paraId="76430292" w14:textId="3E9FCEBC" w:rsidR="00661CF7" w:rsidRPr="000C3CC5" w:rsidRDefault="000C3CC5" w:rsidP="00FE5CF3">
            <w:pPr>
              <w:tabs>
                <w:tab w:val="left" w:pos="567"/>
                <w:tab w:val="left" w:pos="1134"/>
              </w:tabs>
              <w:jc w:val="right"/>
              <w:rPr>
                <w:rFonts w:cs="Arial"/>
                <w:szCs w:val="24"/>
              </w:rPr>
            </w:pPr>
            <w:r w:rsidRPr="000C3CC5">
              <w:rPr>
                <w:rFonts w:cs="Arial"/>
                <w:szCs w:val="24"/>
              </w:rPr>
              <w:t>1.148</w:t>
            </w:r>
          </w:p>
        </w:tc>
      </w:tr>
      <w:tr w:rsidR="00661CF7" w:rsidRPr="000C3CC5" w14:paraId="3A63CEF3" w14:textId="77777777" w:rsidTr="00FE5CF3">
        <w:tc>
          <w:tcPr>
            <w:tcW w:w="7508" w:type="dxa"/>
          </w:tcPr>
          <w:p w14:paraId="519B8E2D" w14:textId="13CAE25C" w:rsidR="00661CF7" w:rsidRPr="000C3CC5" w:rsidRDefault="000C3CC5" w:rsidP="004B3701">
            <w:pPr>
              <w:tabs>
                <w:tab w:val="left" w:pos="567"/>
                <w:tab w:val="left" w:pos="1134"/>
              </w:tabs>
              <w:jc w:val="both"/>
              <w:rPr>
                <w:rFonts w:cs="Arial"/>
                <w:szCs w:val="24"/>
              </w:rPr>
            </w:pPr>
            <w:r w:rsidRPr="000C3CC5">
              <w:rPr>
                <w:rFonts w:cs="Arial"/>
                <w:szCs w:val="24"/>
              </w:rPr>
              <w:t>Patient Safety and Quality Improvement</w:t>
            </w:r>
          </w:p>
        </w:tc>
        <w:tc>
          <w:tcPr>
            <w:tcW w:w="1508" w:type="dxa"/>
          </w:tcPr>
          <w:p w14:paraId="57AA469D" w14:textId="695A91A7" w:rsidR="00661CF7" w:rsidRPr="000C3CC5" w:rsidRDefault="000C3CC5" w:rsidP="00FE5CF3">
            <w:pPr>
              <w:tabs>
                <w:tab w:val="left" w:pos="567"/>
                <w:tab w:val="left" w:pos="1134"/>
              </w:tabs>
              <w:jc w:val="right"/>
              <w:rPr>
                <w:rFonts w:cs="Arial"/>
                <w:szCs w:val="24"/>
              </w:rPr>
            </w:pPr>
            <w:r w:rsidRPr="000C3CC5">
              <w:rPr>
                <w:rFonts w:cs="Arial"/>
                <w:szCs w:val="24"/>
              </w:rPr>
              <w:t>0.090</w:t>
            </w:r>
          </w:p>
        </w:tc>
      </w:tr>
      <w:tr w:rsidR="004B3701" w:rsidRPr="000C3CC5" w14:paraId="71339671" w14:textId="77777777" w:rsidTr="00FE5CF3">
        <w:tc>
          <w:tcPr>
            <w:tcW w:w="7508" w:type="dxa"/>
          </w:tcPr>
          <w:p w14:paraId="7367E8A3" w14:textId="52929047" w:rsidR="004B3701" w:rsidRPr="000C3CC5" w:rsidRDefault="000C3CC5" w:rsidP="004B3701">
            <w:pPr>
              <w:tabs>
                <w:tab w:val="left" w:pos="567"/>
                <w:tab w:val="left" w:pos="1134"/>
              </w:tabs>
              <w:jc w:val="both"/>
              <w:rPr>
                <w:rFonts w:cs="Arial"/>
                <w:szCs w:val="24"/>
              </w:rPr>
            </w:pPr>
            <w:r w:rsidRPr="000C3CC5">
              <w:rPr>
                <w:rFonts w:cs="Arial"/>
                <w:szCs w:val="24"/>
              </w:rPr>
              <w:t>Programme Office</w:t>
            </w:r>
          </w:p>
        </w:tc>
        <w:tc>
          <w:tcPr>
            <w:tcW w:w="1508" w:type="dxa"/>
          </w:tcPr>
          <w:p w14:paraId="7454B869" w14:textId="5BB5E11D" w:rsidR="004B3701" w:rsidRPr="000C3CC5" w:rsidRDefault="000C3CC5" w:rsidP="00FE5CF3">
            <w:pPr>
              <w:tabs>
                <w:tab w:val="left" w:pos="567"/>
                <w:tab w:val="left" w:pos="1134"/>
              </w:tabs>
              <w:jc w:val="right"/>
              <w:rPr>
                <w:rFonts w:cs="Arial"/>
                <w:szCs w:val="24"/>
              </w:rPr>
            </w:pPr>
            <w:r w:rsidRPr="000C3CC5">
              <w:rPr>
                <w:rFonts w:cs="Arial"/>
                <w:szCs w:val="24"/>
              </w:rPr>
              <w:t>1.402</w:t>
            </w:r>
          </w:p>
        </w:tc>
      </w:tr>
      <w:tr w:rsidR="004B3701" w:rsidRPr="000C3CC5" w14:paraId="1411B8C8" w14:textId="77777777" w:rsidTr="00FE5CF3">
        <w:tc>
          <w:tcPr>
            <w:tcW w:w="7508" w:type="dxa"/>
          </w:tcPr>
          <w:p w14:paraId="631F6875" w14:textId="6B89EFE5" w:rsidR="004B3701" w:rsidRPr="000C3CC5" w:rsidRDefault="000C3CC5" w:rsidP="004B3701">
            <w:pPr>
              <w:tabs>
                <w:tab w:val="left" w:pos="567"/>
                <w:tab w:val="left" w:pos="1134"/>
              </w:tabs>
              <w:jc w:val="both"/>
              <w:rPr>
                <w:rFonts w:cs="Arial"/>
                <w:szCs w:val="24"/>
              </w:rPr>
            </w:pPr>
            <w:r w:rsidRPr="000C3CC5">
              <w:rPr>
                <w:rFonts w:cs="Arial"/>
                <w:szCs w:val="24"/>
              </w:rPr>
              <w:t>Social Care Services (Adults)</w:t>
            </w:r>
          </w:p>
        </w:tc>
        <w:tc>
          <w:tcPr>
            <w:tcW w:w="1508" w:type="dxa"/>
          </w:tcPr>
          <w:p w14:paraId="46F730A3" w14:textId="25C526A5" w:rsidR="004B3701" w:rsidRPr="000C3CC5" w:rsidRDefault="000C3CC5" w:rsidP="00FE5CF3">
            <w:pPr>
              <w:tabs>
                <w:tab w:val="left" w:pos="567"/>
                <w:tab w:val="left" w:pos="1134"/>
              </w:tabs>
              <w:jc w:val="right"/>
              <w:rPr>
                <w:rFonts w:cs="Arial"/>
                <w:szCs w:val="24"/>
              </w:rPr>
            </w:pPr>
            <w:r w:rsidRPr="000C3CC5">
              <w:rPr>
                <w:rFonts w:cs="Arial"/>
                <w:szCs w:val="24"/>
              </w:rPr>
              <w:t>2.202</w:t>
            </w:r>
          </w:p>
        </w:tc>
      </w:tr>
      <w:tr w:rsidR="004B3701" w:rsidRPr="000C3CC5" w14:paraId="45B2F635" w14:textId="77777777" w:rsidTr="00FE5CF3">
        <w:tc>
          <w:tcPr>
            <w:tcW w:w="7508" w:type="dxa"/>
          </w:tcPr>
          <w:p w14:paraId="74A4BCB0" w14:textId="77777777" w:rsidR="004B3701" w:rsidRPr="000C3CC5" w:rsidRDefault="004B3701" w:rsidP="004B3701">
            <w:pPr>
              <w:tabs>
                <w:tab w:val="left" w:pos="567"/>
                <w:tab w:val="left" w:pos="1134"/>
              </w:tabs>
              <w:jc w:val="both"/>
              <w:rPr>
                <w:rFonts w:cs="Arial"/>
                <w:b/>
                <w:szCs w:val="24"/>
              </w:rPr>
            </w:pPr>
            <w:r w:rsidRPr="000C3CC5">
              <w:rPr>
                <w:rFonts w:cs="Arial"/>
                <w:b/>
                <w:szCs w:val="24"/>
              </w:rPr>
              <w:t>Grand Total</w:t>
            </w:r>
          </w:p>
        </w:tc>
        <w:tc>
          <w:tcPr>
            <w:tcW w:w="1508" w:type="dxa"/>
          </w:tcPr>
          <w:p w14:paraId="6EE797AF" w14:textId="58709194" w:rsidR="004B3701" w:rsidRPr="000C3CC5" w:rsidRDefault="00BA4717" w:rsidP="005C65FC">
            <w:pPr>
              <w:tabs>
                <w:tab w:val="left" w:pos="567"/>
                <w:tab w:val="left" w:pos="1134"/>
              </w:tabs>
              <w:jc w:val="right"/>
              <w:rPr>
                <w:rFonts w:cs="Arial"/>
                <w:b/>
                <w:szCs w:val="24"/>
              </w:rPr>
            </w:pPr>
            <w:r w:rsidRPr="000C3CC5">
              <w:rPr>
                <w:rFonts w:cs="Arial"/>
                <w:b/>
                <w:szCs w:val="24"/>
              </w:rPr>
              <w:t>8.</w:t>
            </w:r>
            <w:r w:rsidR="005C65FC" w:rsidRPr="000C3CC5">
              <w:rPr>
                <w:rFonts w:cs="Arial"/>
                <w:b/>
                <w:szCs w:val="24"/>
              </w:rPr>
              <w:t>000</w:t>
            </w:r>
          </w:p>
        </w:tc>
      </w:tr>
    </w:tbl>
    <w:p w14:paraId="3DD29812" w14:textId="6BFB68E9" w:rsidR="00114287" w:rsidRPr="000C3CC5" w:rsidRDefault="00114287" w:rsidP="00B15270">
      <w:pPr>
        <w:tabs>
          <w:tab w:val="left" w:pos="567"/>
          <w:tab w:val="left" w:pos="1134"/>
        </w:tabs>
        <w:spacing w:after="0"/>
        <w:jc w:val="both"/>
        <w:rPr>
          <w:rFonts w:cs="Arial"/>
          <w:szCs w:val="24"/>
        </w:rPr>
      </w:pPr>
    </w:p>
    <w:p w14:paraId="1B909065" w14:textId="6F54FEB6" w:rsidR="00673506" w:rsidRPr="005C65FC" w:rsidRDefault="005C65FC" w:rsidP="00B15270">
      <w:pPr>
        <w:tabs>
          <w:tab w:val="left" w:pos="567"/>
          <w:tab w:val="left" w:pos="1134"/>
        </w:tabs>
        <w:spacing w:after="0"/>
        <w:jc w:val="both"/>
        <w:rPr>
          <w:rFonts w:cs="Arial"/>
          <w:szCs w:val="24"/>
        </w:rPr>
      </w:pPr>
      <w:r w:rsidRPr="000C3CC5">
        <w:rPr>
          <w:rFonts w:cs="Arial"/>
          <w:szCs w:val="24"/>
        </w:rPr>
        <w:t>At full c</w:t>
      </w:r>
      <w:r w:rsidR="00803C35" w:rsidRPr="000C3CC5">
        <w:rPr>
          <w:rFonts w:cs="Arial"/>
          <w:szCs w:val="24"/>
        </w:rPr>
        <w:t>ou</w:t>
      </w:r>
      <w:r w:rsidRPr="000C3CC5">
        <w:rPr>
          <w:rFonts w:cs="Arial"/>
          <w:szCs w:val="24"/>
        </w:rPr>
        <w:t>ncil in February each year the c</w:t>
      </w:r>
      <w:r w:rsidR="00803C35" w:rsidRPr="000C3CC5">
        <w:rPr>
          <w:rFonts w:cs="Arial"/>
          <w:szCs w:val="24"/>
        </w:rPr>
        <w:t xml:space="preserve">ounty </w:t>
      </w:r>
      <w:r w:rsidRPr="000C3CC5">
        <w:rPr>
          <w:rFonts w:cs="Arial"/>
          <w:szCs w:val="24"/>
        </w:rPr>
        <w:t>c</w:t>
      </w:r>
      <w:r w:rsidR="00803C35" w:rsidRPr="000C3CC5">
        <w:rPr>
          <w:rFonts w:cs="Arial"/>
          <w:szCs w:val="24"/>
        </w:rPr>
        <w:t>ouncil's prudential indicators</w:t>
      </w:r>
      <w:r w:rsidR="00803C35" w:rsidRPr="005C65FC">
        <w:rPr>
          <w:rFonts w:cs="Arial"/>
          <w:szCs w:val="24"/>
        </w:rPr>
        <w:t xml:space="preserve"> are reviewe</w:t>
      </w:r>
      <w:r w:rsidRPr="005C65FC">
        <w:rPr>
          <w:rFonts w:cs="Arial"/>
          <w:szCs w:val="24"/>
        </w:rPr>
        <w:t>d and approved. As part of the t</w:t>
      </w:r>
      <w:r w:rsidR="00803C35" w:rsidRPr="005C65FC">
        <w:rPr>
          <w:rFonts w:cs="Arial"/>
          <w:szCs w:val="24"/>
        </w:rPr>
        <w:t xml:space="preserve">reasury </w:t>
      </w:r>
      <w:r w:rsidRPr="005C65FC">
        <w:rPr>
          <w:rFonts w:cs="Arial"/>
          <w:szCs w:val="24"/>
        </w:rPr>
        <w:t>management s</w:t>
      </w:r>
      <w:r w:rsidR="00803C35" w:rsidRPr="005C65FC">
        <w:rPr>
          <w:rFonts w:cs="Arial"/>
          <w:szCs w:val="24"/>
        </w:rPr>
        <w:t>trategy</w:t>
      </w:r>
      <w:r w:rsidR="00FE5CF3" w:rsidRPr="005C65FC">
        <w:rPr>
          <w:rFonts w:cs="Arial"/>
          <w:szCs w:val="24"/>
        </w:rPr>
        <w:t>,</w:t>
      </w:r>
      <w:r w:rsidR="00803C35" w:rsidRPr="005C65FC">
        <w:rPr>
          <w:rFonts w:cs="Arial"/>
          <w:szCs w:val="24"/>
        </w:rPr>
        <w:t xml:space="preserve"> that </w:t>
      </w:r>
      <w:r w:rsidRPr="005C65FC">
        <w:rPr>
          <w:rFonts w:cs="Arial"/>
          <w:szCs w:val="24"/>
        </w:rPr>
        <w:t>is requesting approval at this full c</w:t>
      </w:r>
      <w:r w:rsidR="00803C35" w:rsidRPr="005C65FC">
        <w:rPr>
          <w:rFonts w:cs="Arial"/>
          <w:szCs w:val="24"/>
        </w:rPr>
        <w:t>ouncil meeting, the level of indicators incorporate the budgeted level of capital receipts that will be used to support the revenue budget</w:t>
      </w:r>
      <w:r w:rsidR="00E46A6F" w:rsidRPr="005C65FC">
        <w:rPr>
          <w:rFonts w:cs="Arial"/>
          <w:szCs w:val="24"/>
        </w:rPr>
        <w:t xml:space="preserve"> rather than the capital</w:t>
      </w:r>
      <w:r w:rsidR="005D7B41">
        <w:rPr>
          <w:rFonts w:cs="Arial"/>
          <w:szCs w:val="24"/>
        </w:rPr>
        <w:t xml:space="preserve"> delivery</w:t>
      </w:r>
      <w:r w:rsidR="00E46A6F" w:rsidRPr="005C65FC">
        <w:rPr>
          <w:rFonts w:cs="Arial"/>
          <w:szCs w:val="24"/>
        </w:rPr>
        <w:t xml:space="preserve"> programme</w:t>
      </w:r>
      <w:r w:rsidR="00803C35" w:rsidRPr="005C65FC">
        <w:rPr>
          <w:rFonts w:cs="Arial"/>
          <w:szCs w:val="24"/>
        </w:rPr>
        <w:t>. The indicators are reviewed on a</w:t>
      </w:r>
      <w:r w:rsidRPr="005C65FC">
        <w:rPr>
          <w:rFonts w:cs="Arial"/>
          <w:szCs w:val="24"/>
        </w:rPr>
        <w:t xml:space="preserve"> regular basis and reported to m</w:t>
      </w:r>
      <w:r w:rsidR="00803C35" w:rsidRPr="005C65FC">
        <w:rPr>
          <w:rFonts w:cs="Arial"/>
          <w:szCs w:val="24"/>
        </w:rPr>
        <w:t>embers on a quarterly bas</w:t>
      </w:r>
      <w:r w:rsidRPr="005C65FC">
        <w:rPr>
          <w:rFonts w:cs="Arial"/>
          <w:szCs w:val="24"/>
        </w:rPr>
        <w:t>is.</w:t>
      </w:r>
    </w:p>
    <w:p w14:paraId="60966304" w14:textId="77777777" w:rsidR="005C65FC" w:rsidRDefault="005C65FC" w:rsidP="00B15270">
      <w:pPr>
        <w:tabs>
          <w:tab w:val="left" w:pos="567"/>
          <w:tab w:val="left" w:pos="1134"/>
        </w:tabs>
        <w:spacing w:after="0"/>
        <w:jc w:val="both"/>
        <w:rPr>
          <w:rFonts w:cs="Arial"/>
          <w:szCs w:val="24"/>
        </w:rPr>
      </w:pPr>
    </w:p>
    <w:p w14:paraId="0CCC4047" w14:textId="77777777" w:rsidR="00F7294A" w:rsidRDefault="00F7294A" w:rsidP="00B15270">
      <w:pPr>
        <w:tabs>
          <w:tab w:val="left" w:pos="567"/>
          <w:tab w:val="left" w:pos="1134"/>
        </w:tabs>
        <w:spacing w:after="0"/>
        <w:jc w:val="both"/>
        <w:rPr>
          <w:rFonts w:cs="Arial"/>
          <w:szCs w:val="24"/>
        </w:rPr>
      </w:pPr>
    </w:p>
    <w:p w14:paraId="12CA9D91" w14:textId="77777777" w:rsidR="00F7294A" w:rsidRDefault="00F7294A" w:rsidP="00B15270">
      <w:pPr>
        <w:tabs>
          <w:tab w:val="left" w:pos="567"/>
          <w:tab w:val="left" w:pos="1134"/>
        </w:tabs>
        <w:spacing w:after="0"/>
        <w:jc w:val="both"/>
        <w:rPr>
          <w:rFonts w:cs="Arial"/>
          <w:szCs w:val="24"/>
        </w:rPr>
      </w:pPr>
    </w:p>
    <w:p w14:paraId="020B78E1" w14:textId="77777777" w:rsidR="00F7294A" w:rsidRDefault="00F7294A" w:rsidP="00B15270">
      <w:pPr>
        <w:tabs>
          <w:tab w:val="left" w:pos="567"/>
          <w:tab w:val="left" w:pos="1134"/>
        </w:tabs>
        <w:spacing w:after="0"/>
        <w:jc w:val="both"/>
        <w:rPr>
          <w:rFonts w:cs="Arial"/>
          <w:szCs w:val="24"/>
        </w:rPr>
      </w:pPr>
    </w:p>
    <w:p w14:paraId="0D2901DE" w14:textId="77777777" w:rsidR="00F7294A" w:rsidRDefault="00F7294A" w:rsidP="00B15270">
      <w:pPr>
        <w:tabs>
          <w:tab w:val="left" w:pos="567"/>
          <w:tab w:val="left" w:pos="1134"/>
        </w:tabs>
        <w:spacing w:after="0"/>
        <w:jc w:val="both"/>
        <w:rPr>
          <w:rFonts w:cs="Arial"/>
          <w:szCs w:val="24"/>
        </w:rPr>
      </w:pPr>
    </w:p>
    <w:p w14:paraId="793968FB" w14:textId="77777777" w:rsidR="00F7294A" w:rsidRDefault="00F7294A" w:rsidP="00B15270">
      <w:pPr>
        <w:tabs>
          <w:tab w:val="left" w:pos="567"/>
          <w:tab w:val="left" w:pos="1134"/>
        </w:tabs>
        <w:spacing w:after="0"/>
        <w:jc w:val="both"/>
        <w:rPr>
          <w:rFonts w:cs="Arial"/>
          <w:szCs w:val="24"/>
        </w:rPr>
      </w:pPr>
    </w:p>
    <w:p w14:paraId="2A7D5305" w14:textId="77777777" w:rsidR="00F7294A" w:rsidRDefault="00F7294A" w:rsidP="00B15270">
      <w:pPr>
        <w:tabs>
          <w:tab w:val="left" w:pos="567"/>
          <w:tab w:val="left" w:pos="1134"/>
        </w:tabs>
        <w:spacing w:after="0"/>
        <w:jc w:val="both"/>
        <w:rPr>
          <w:rFonts w:cs="Arial"/>
          <w:szCs w:val="24"/>
        </w:rPr>
      </w:pPr>
    </w:p>
    <w:p w14:paraId="24E6BC76" w14:textId="77777777" w:rsidR="00F7294A" w:rsidRDefault="00F7294A" w:rsidP="00B15270">
      <w:pPr>
        <w:tabs>
          <w:tab w:val="left" w:pos="567"/>
          <w:tab w:val="left" w:pos="1134"/>
        </w:tabs>
        <w:spacing w:after="0"/>
        <w:jc w:val="both"/>
        <w:rPr>
          <w:rFonts w:cs="Arial"/>
          <w:szCs w:val="24"/>
        </w:rPr>
      </w:pPr>
    </w:p>
    <w:p w14:paraId="42D8C5F2" w14:textId="77777777" w:rsidR="00F7294A" w:rsidRDefault="00F7294A" w:rsidP="00B15270">
      <w:pPr>
        <w:tabs>
          <w:tab w:val="left" w:pos="567"/>
          <w:tab w:val="left" w:pos="1134"/>
        </w:tabs>
        <w:spacing w:after="0"/>
        <w:jc w:val="both"/>
        <w:rPr>
          <w:rFonts w:cs="Arial"/>
          <w:szCs w:val="24"/>
        </w:rPr>
      </w:pPr>
    </w:p>
    <w:p w14:paraId="112EAEE8" w14:textId="77777777" w:rsidR="00F7294A" w:rsidRDefault="00F7294A" w:rsidP="00B15270">
      <w:pPr>
        <w:tabs>
          <w:tab w:val="left" w:pos="567"/>
          <w:tab w:val="left" w:pos="1134"/>
        </w:tabs>
        <w:spacing w:after="0"/>
        <w:jc w:val="both"/>
        <w:rPr>
          <w:rFonts w:cs="Arial"/>
          <w:szCs w:val="24"/>
        </w:rPr>
      </w:pPr>
    </w:p>
    <w:p w14:paraId="46F8B387" w14:textId="77777777" w:rsidR="00F7294A" w:rsidRDefault="00F7294A" w:rsidP="00B15270">
      <w:pPr>
        <w:tabs>
          <w:tab w:val="left" w:pos="567"/>
          <w:tab w:val="left" w:pos="1134"/>
        </w:tabs>
        <w:spacing w:after="0"/>
        <w:jc w:val="both"/>
        <w:rPr>
          <w:rFonts w:cs="Arial"/>
          <w:szCs w:val="24"/>
        </w:rPr>
      </w:pPr>
    </w:p>
    <w:p w14:paraId="4E0C1331" w14:textId="77777777" w:rsidR="00F7294A" w:rsidRDefault="00F7294A" w:rsidP="00B15270">
      <w:pPr>
        <w:tabs>
          <w:tab w:val="left" w:pos="567"/>
          <w:tab w:val="left" w:pos="1134"/>
        </w:tabs>
        <w:spacing w:after="0"/>
        <w:jc w:val="both"/>
        <w:rPr>
          <w:rFonts w:cs="Arial"/>
          <w:szCs w:val="24"/>
        </w:rPr>
      </w:pPr>
    </w:p>
    <w:p w14:paraId="40490DC7" w14:textId="77777777" w:rsidR="00F7294A" w:rsidRDefault="00F7294A" w:rsidP="00B15270">
      <w:pPr>
        <w:tabs>
          <w:tab w:val="left" w:pos="567"/>
          <w:tab w:val="left" w:pos="1134"/>
        </w:tabs>
        <w:spacing w:after="0"/>
        <w:jc w:val="both"/>
        <w:rPr>
          <w:rFonts w:cs="Arial"/>
          <w:szCs w:val="24"/>
        </w:rPr>
      </w:pPr>
    </w:p>
    <w:p w14:paraId="4DA25000" w14:textId="77777777" w:rsidR="00F7294A" w:rsidRPr="005C65FC" w:rsidRDefault="00F7294A" w:rsidP="00B15270">
      <w:pPr>
        <w:tabs>
          <w:tab w:val="left" w:pos="567"/>
          <w:tab w:val="left" w:pos="1134"/>
        </w:tabs>
        <w:spacing w:after="0"/>
        <w:jc w:val="both"/>
        <w:rPr>
          <w:rFonts w:cs="Arial"/>
          <w:szCs w:val="24"/>
        </w:rPr>
      </w:pPr>
    </w:p>
    <w:p w14:paraId="3A83B249" w14:textId="44E973C6" w:rsidR="004C0F29" w:rsidRPr="005C65FC" w:rsidRDefault="00F7294A" w:rsidP="004321DB">
      <w:pPr>
        <w:pStyle w:val="Heading2"/>
        <w:spacing w:line="276" w:lineRule="auto"/>
        <w:jc w:val="both"/>
        <w:rPr>
          <w:b w:val="0"/>
        </w:rPr>
      </w:pPr>
      <w:r>
        <w:rPr>
          <w:b w:val="0"/>
        </w:rPr>
        <w:t>4</w:t>
      </w:r>
      <w:r w:rsidR="004C0F29" w:rsidRPr="005C65FC">
        <w:rPr>
          <w:b w:val="0"/>
        </w:rPr>
        <w:t>.</w:t>
      </w:r>
      <w:r w:rsidR="00317423" w:rsidRPr="005C65FC">
        <w:rPr>
          <w:b w:val="0"/>
        </w:rPr>
        <w:t xml:space="preserve">5 </w:t>
      </w:r>
      <w:r w:rsidR="004C0F29" w:rsidRPr="005C65FC">
        <w:rPr>
          <w:b w:val="0"/>
        </w:rPr>
        <w:t>Specific Grants</w:t>
      </w:r>
      <w:r w:rsidR="005502D3" w:rsidRPr="005C65FC">
        <w:rPr>
          <w:b w:val="0"/>
        </w:rPr>
        <w:t xml:space="preserve"> and contributions</w:t>
      </w:r>
      <w:r w:rsidR="004C0F29" w:rsidRPr="005C65FC">
        <w:rPr>
          <w:b w:val="0"/>
        </w:rPr>
        <w:t xml:space="preserve"> to be received </w:t>
      </w:r>
      <w:r w:rsidR="00D75FD2" w:rsidRPr="005C65FC">
        <w:rPr>
          <w:b w:val="0"/>
        </w:rPr>
        <w:t>by the County Council in 201</w:t>
      </w:r>
      <w:r w:rsidR="00515C87">
        <w:rPr>
          <w:b w:val="0"/>
        </w:rPr>
        <w:t>9/20</w:t>
      </w:r>
    </w:p>
    <w:p w14:paraId="695B7A47" w14:textId="77777777" w:rsidR="004C0F29" w:rsidRPr="005C65FC" w:rsidRDefault="004C0F29" w:rsidP="004321DB">
      <w:pPr>
        <w:pStyle w:val="NoSpacing"/>
        <w:spacing w:line="276" w:lineRule="auto"/>
        <w:jc w:val="both"/>
        <w:rPr>
          <w:rFonts w:ascii="Arial" w:hAnsi="Arial" w:cs="Arial"/>
        </w:rPr>
      </w:pPr>
    </w:p>
    <w:p w14:paraId="756ED4E0" w14:textId="45C25EAF" w:rsidR="004C0F29" w:rsidRPr="005C65FC" w:rsidRDefault="004C0F29" w:rsidP="004321DB">
      <w:pPr>
        <w:pStyle w:val="NoSpacing"/>
        <w:spacing w:line="276" w:lineRule="auto"/>
        <w:jc w:val="both"/>
        <w:rPr>
          <w:rFonts w:ascii="Arial" w:hAnsi="Arial" w:cs="Arial"/>
        </w:rPr>
      </w:pPr>
      <w:r w:rsidRPr="005C65FC">
        <w:rPr>
          <w:rFonts w:ascii="Arial" w:hAnsi="Arial" w:cs="Arial"/>
        </w:rPr>
        <w:t>The following table summarises the more significant specifi</w:t>
      </w:r>
      <w:r w:rsidR="000C3CC5">
        <w:rPr>
          <w:rFonts w:ascii="Arial" w:hAnsi="Arial" w:cs="Arial"/>
        </w:rPr>
        <w:t>c grants to be received by the c</w:t>
      </w:r>
      <w:r w:rsidRPr="005C65FC">
        <w:rPr>
          <w:rFonts w:ascii="Arial" w:hAnsi="Arial" w:cs="Arial"/>
        </w:rPr>
        <w:t>ouncil in 201</w:t>
      </w:r>
      <w:r w:rsidR="005C65FC" w:rsidRPr="005C65FC">
        <w:rPr>
          <w:rFonts w:ascii="Arial" w:hAnsi="Arial" w:cs="Arial"/>
        </w:rPr>
        <w:t>9/20</w:t>
      </w:r>
      <w:r w:rsidR="00AD6ABB" w:rsidRPr="005C65FC">
        <w:rPr>
          <w:rFonts w:ascii="Arial" w:hAnsi="Arial" w:cs="Arial"/>
        </w:rPr>
        <w:t>:</w:t>
      </w:r>
    </w:p>
    <w:p w14:paraId="1EC87F66" w14:textId="77777777" w:rsidR="00F7294A" w:rsidRPr="005C65FC" w:rsidRDefault="00F7294A" w:rsidP="004321DB">
      <w:pPr>
        <w:pStyle w:val="NoSpacing"/>
        <w:spacing w:line="276" w:lineRule="auto"/>
        <w:jc w:val="both"/>
        <w:rPr>
          <w:rFonts w:ascii="Arial" w:hAnsi="Arial" w:cs="Arial"/>
        </w:rPr>
      </w:pPr>
    </w:p>
    <w:p w14:paraId="143F216B" w14:textId="6945275D" w:rsidR="00AD6ABB" w:rsidRPr="005C65FC" w:rsidRDefault="00F7294A" w:rsidP="004321DB">
      <w:pPr>
        <w:pStyle w:val="NoSpacing"/>
        <w:spacing w:line="276" w:lineRule="auto"/>
        <w:jc w:val="both"/>
        <w:rPr>
          <w:rFonts w:ascii="Arial" w:hAnsi="Arial" w:cs="Arial"/>
          <w:b/>
          <w:u w:val="single"/>
        </w:rPr>
      </w:pPr>
      <w:r>
        <w:rPr>
          <w:rFonts w:ascii="Arial" w:hAnsi="Arial" w:cs="Arial"/>
          <w:b/>
          <w:u w:val="single"/>
        </w:rPr>
        <w:t>Table 6</w:t>
      </w:r>
    </w:p>
    <w:p w14:paraId="3C100A5E" w14:textId="77777777" w:rsidR="004B3701" w:rsidRPr="00DE45C1" w:rsidRDefault="004B3701" w:rsidP="004321DB">
      <w:pPr>
        <w:pStyle w:val="NoSpacing"/>
        <w:spacing w:line="276" w:lineRule="auto"/>
        <w:jc w:val="both"/>
        <w:rPr>
          <w:rFonts w:ascii="Arial" w:hAnsi="Arial" w:cs="Arial"/>
          <w:b/>
          <w:highlight w:val="yellow"/>
          <w:u w:val="single"/>
        </w:rPr>
      </w:pPr>
    </w:p>
    <w:tbl>
      <w:tblPr>
        <w:tblStyle w:val="TableGrid9"/>
        <w:tblW w:w="0" w:type="auto"/>
        <w:jc w:val="center"/>
        <w:tblLook w:val="04A0" w:firstRow="1" w:lastRow="0" w:firstColumn="1" w:lastColumn="0" w:noHBand="0" w:noVBand="1"/>
      </w:tblPr>
      <w:tblGrid>
        <w:gridCol w:w="1348"/>
        <w:gridCol w:w="2209"/>
        <w:gridCol w:w="5459"/>
      </w:tblGrid>
      <w:tr w:rsidR="00AD6ABB" w:rsidRPr="00DE45C1" w14:paraId="77637C4F" w14:textId="77777777" w:rsidTr="00345D9F">
        <w:trPr>
          <w:jc w:val="center"/>
        </w:trPr>
        <w:tc>
          <w:tcPr>
            <w:tcW w:w="0" w:type="auto"/>
            <w:tcBorders>
              <w:bottom w:val="nil"/>
            </w:tcBorders>
            <w:shd w:val="clear" w:color="auto" w:fill="BFBFBF" w:themeFill="background1" w:themeFillShade="BF"/>
            <w:vAlign w:val="center"/>
          </w:tcPr>
          <w:p w14:paraId="54F1C7F5" w14:textId="77777777" w:rsidR="00AD6ABB" w:rsidRPr="005C65FC" w:rsidRDefault="00345D9F" w:rsidP="004321DB">
            <w:pPr>
              <w:pStyle w:val="Body1"/>
              <w:spacing w:line="276" w:lineRule="auto"/>
              <w:jc w:val="center"/>
              <w:rPr>
                <w:rFonts w:ascii="Arial" w:hAnsi="Arial" w:cs="Arial"/>
                <w:b/>
                <w:sz w:val="22"/>
                <w:szCs w:val="22"/>
              </w:rPr>
            </w:pPr>
            <w:r w:rsidRPr="005C65FC">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14:paraId="5A90E3C9" w14:textId="6C327B52" w:rsidR="00AD6ABB" w:rsidRPr="005C65FC" w:rsidRDefault="005502D3" w:rsidP="004321DB">
            <w:pPr>
              <w:pStyle w:val="Body1"/>
              <w:spacing w:line="276" w:lineRule="auto"/>
              <w:jc w:val="center"/>
              <w:rPr>
                <w:rFonts w:ascii="Arial" w:hAnsi="Arial" w:cs="Arial"/>
                <w:b/>
                <w:sz w:val="22"/>
                <w:szCs w:val="22"/>
              </w:rPr>
            </w:pPr>
            <w:r w:rsidRPr="005C65FC">
              <w:rPr>
                <w:rFonts w:ascii="Arial" w:hAnsi="Arial" w:cs="Arial"/>
                <w:b/>
                <w:sz w:val="22"/>
                <w:szCs w:val="22"/>
              </w:rPr>
              <w:t xml:space="preserve">Estimated </w:t>
            </w:r>
            <w:r w:rsidR="00AD6ABB" w:rsidRPr="005C65FC">
              <w:rPr>
                <w:rFonts w:ascii="Arial" w:hAnsi="Arial" w:cs="Arial"/>
                <w:b/>
                <w:sz w:val="22"/>
                <w:szCs w:val="22"/>
              </w:rPr>
              <w:t xml:space="preserve">Allocation </w:t>
            </w:r>
            <w:r w:rsidR="005C65FC" w:rsidRPr="005C65FC">
              <w:rPr>
                <w:rFonts w:ascii="Arial" w:hAnsi="Arial" w:cs="Arial"/>
                <w:b/>
                <w:sz w:val="22"/>
                <w:szCs w:val="22"/>
              </w:rPr>
              <w:t>2019/20</w:t>
            </w:r>
          </w:p>
          <w:p w14:paraId="037F7170" w14:textId="77777777" w:rsidR="00345D9F" w:rsidRPr="005C65FC" w:rsidRDefault="00345D9F" w:rsidP="004321DB">
            <w:pPr>
              <w:pStyle w:val="Body1"/>
              <w:spacing w:line="276" w:lineRule="auto"/>
              <w:jc w:val="center"/>
              <w:rPr>
                <w:rFonts w:ascii="Arial" w:hAnsi="Arial" w:cs="Arial"/>
                <w:b/>
                <w:sz w:val="22"/>
                <w:szCs w:val="22"/>
              </w:rPr>
            </w:pPr>
            <w:r w:rsidRPr="005C65FC">
              <w:rPr>
                <w:rFonts w:ascii="Arial" w:hAnsi="Arial" w:cs="Arial"/>
                <w:b/>
                <w:sz w:val="22"/>
                <w:szCs w:val="22"/>
              </w:rPr>
              <w:t>£m</w:t>
            </w:r>
          </w:p>
        </w:tc>
        <w:tc>
          <w:tcPr>
            <w:tcW w:w="0" w:type="auto"/>
            <w:tcBorders>
              <w:bottom w:val="nil"/>
            </w:tcBorders>
            <w:shd w:val="clear" w:color="auto" w:fill="BFBFBF" w:themeFill="background1" w:themeFillShade="BF"/>
            <w:vAlign w:val="center"/>
          </w:tcPr>
          <w:p w14:paraId="4B2F79E1" w14:textId="77777777" w:rsidR="00AD6ABB" w:rsidRPr="005C65FC" w:rsidRDefault="00345D9F" w:rsidP="004321DB">
            <w:pPr>
              <w:pStyle w:val="Body1"/>
              <w:spacing w:line="276" w:lineRule="auto"/>
              <w:jc w:val="center"/>
              <w:rPr>
                <w:rFonts w:ascii="Arial" w:hAnsi="Arial" w:cs="Arial"/>
                <w:b/>
                <w:sz w:val="22"/>
                <w:szCs w:val="22"/>
              </w:rPr>
            </w:pPr>
            <w:r w:rsidRPr="005C65FC">
              <w:rPr>
                <w:rFonts w:ascii="Arial" w:hAnsi="Arial" w:cs="Arial"/>
                <w:b/>
                <w:sz w:val="22"/>
                <w:szCs w:val="22"/>
              </w:rPr>
              <w:t>Description</w:t>
            </w:r>
          </w:p>
        </w:tc>
      </w:tr>
      <w:tr w:rsidR="00AD6ABB" w:rsidRPr="00DE45C1" w14:paraId="026DE1DE" w14:textId="77777777" w:rsidTr="00D02B3A">
        <w:trPr>
          <w:trHeight w:val="983"/>
          <w:jc w:val="center"/>
        </w:trPr>
        <w:tc>
          <w:tcPr>
            <w:tcW w:w="0" w:type="auto"/>
            <w:tcBorders>
              <w:top w:val="single" w:sz="4" w:space="0" w:color="auto"/>
              <w:bottom w:val="single" w:sz="4" w:space="0" w:color="auto"/>
              <w:right w:val="single" w:sz="4" w:space="0" w:color="auto"/>
            </w:tcBorders>
            <w:vAlign w:val="center"/>
          </w:tcPr>
          <w:p w14:paraId="3EA4DF28" w14:textId="77777777" w:rsidR="00AD6ABB" w:rsidRPr="00DE45C1" w:rsidRDefault="00B71651" w:rsidP="004321DB">
            <w:pPr>
              <w:pStyle w:val="Body1"/>
              <w:spacing w:line="276" w:lineRule="auto"/>
              <w:rPr>
                <w:rFonts w:ascii="Arial" w:hAnsi="Arial" w:cs="Arial"/>
                <w:sz w:val="22"/>
                <w:szCs w:val="22"/>
                <w:highlight w:val="yellow"/>
              </w:rPr>
            </w:pPr>
            <w:r w:rsidRPr="00D02B3A">
              <w:rPr>
                <w:rFonts w:ascii="Arial" w:hAnsi="Arial" w:cs="Arial"/>
                <w:sz w:val="22"/>
                <w:szCs w:val="22"/>
              </w:rPr>
              <w:t>Better Care Fund</w:t>
            </w:r>
          </w:p>
        </w:tc>
        <w:tc>
          <w:tcPr>
            <w:tcW w:w="0" w:type="auto"/>
            <w:tcBorders>
              <w:top w:val="single" w:sz="4" w:space="0" w:color="auto"/>
              <w:left w:val="single" w:sz="4" w:space="0" w:color="auto"/>
              <w:bottom w:val="single" w:sz="4" w:space="0" w:color="auto"/>
              <w:right w:val="single" w:sz="4" w:space="0" w:color="auto"/>
            </w:tcBorders>
            <w:vAlign w:val="center"/>
          </w:tcPr>
          <w:p w14:paraId="5611D021" w14:textId="2685D864" w:rsidR="00AD6ABB" w:rsidRPr="00D02B3A" w:rsidRDefault="00257F8A" w:rsidP="00AA0F38">
            <w:pPr>
              <w:pStyle w:val="Body1"/>
              <w:spacing w:line="276" w:lineRule="auto"/>
              <w:jc w:val="center"/>
              <w:rPr>
                <w:rFonts w:ascii="Arial" w:hAnsi="Arial" w:cs="Arial"/>
                <w:sz w:val="22"/>
                <w:szCs w:val="22"/>
              </w:rPr>
            </w:pPr>
            <w:r>
              <w:rPr>
                <w:rFonts w:ascii="Arial" w:hAnsi="Arial" w:cs="Arial"/>
                <w:sz w:val="22"/>
                <w:szCs w:val="22"/>
              </w:rPr>
              <w:t>26.3</w:t>
            </w:r>
          </w:p>
        </w:tc>
        <w:tc>
          <w:tcPr>
            <w:tcW w:w="0" w:type="auto"/>
            <w:tcBorders>
              <w:top w:val="single" w:sz="4" w:space="0" w:color="auto"/>
              <w:left w:val="single" w:sz="4" w:space="0" w:color="auto"/>
              <w:bottom w:val="single" w:sz="4" w:space="0" w:color="auto"/>
            </w:tcBorders>
            <w:vAlign w:val="center"/>
          </w:tcPr>
          <w:p w14:paraId="046A7096" w14:textId="2E4CB898" w:rsidR="005E2F71" w:rsidRPr="00D02B3A" w:rsidRDefault="00B71651" w:rsidP="00D02B3A">
            <w:pPr>
              <w:pStyle w:val="Body1"/>
              <w:spacing w:line="276" w:lineRule="auto"/>
              <w:rPr>
                <w:rFonts w:ascii="Arial" w:hAnsi="Arial" w:cs="Arial"/>
                <w:sz w:val="22"/>
                <w:szCs w:val="22"/>
              </w:rPr>
            </w:pPr>
            <w:r w:rsidRPr="00D02B3A">
              <w:rPr>
                <w:rFonts w:ascii="Arial" w:hAnsi="Arial" w:cs="Arial"/>
                <w:sz w:val="22"/>
                <w:szCs w:val="22"/>
              </w:rPr>
              <w:t>The Better Care Fund is a po</w:t>
            </w:r>
            <w:r w:rsidR="00A34F05" w:rsidRPr="00D02B3A">
              <w:rPr>
                <w:rFonts w:ascii="Arial" w:hAnsi="Arial" w:cs="Arial"/>
                <w:sz w:val="22"/>
                <w:szCs w:val="22"/>
              </w:rPr>
              <w:t>oled budget to help</w:t>
            </w:r>
            <w:r w:rsidRPr="00D02B3A">
              <w:rPr>
                <w:rFonts w:ascii="Arial" w:hAnsi="Arial" w:cs="Arial"/>
                <w:sz w:val="22"/>
                <w:szCs w:val="22"/>
              </w:rPr>
              <w:t xml:space="preserve"> improve the integratio</w:t>
            </w:r>
            <w:r w:rsidR="00BA4717" w:rsidRPr="00D02B3A">
              <w:rPr>
                <w:rFonts w:ascii="Arial" w:hAnsi="Arial" w:cs="Arial"/>
                <w:sz w:val="22"/>
                <w:szCs w:val="22"/>
              </w:rPr>
              <w:t xml:space="preserve">n of health and care services. </w:t>
            </w:r>
          </w:p>
        </w:tc>
      </w:tr>
      <w:tr w:rsidR="00AD6ABB" w:rsidRPr="00DE45C1" w14:paraId="277385A7" w14:textId="77777777" w:rsidTr="00D0078E">
        <w:trPr>
          <w:trHeight w:val="1066"/>
          <w:jc w:val="center"/>
        </w:trPr>
        <w:tc>
          <w:tcPr>
            <w:tcW w:w="0" w:type="auto"/>
            <w:tcBorders>
              <w:bottom w:val="single" w:sz="4" w:space="0" w:color="auto"/>
              <w:right w:val="single" w:sz="4" w:space="0" w:color="auto"/>
            </w:tcBorders>
            <w:vAlign w:val="center"/>
          </w:tcPr>
          <w:p w14:paraId="4C7EBE0A" w14:textId="3CBCB7C9" w:rsidR="00AD6ABB" w:rsidRPr="00D02B3A" w:rsidRDefault="00AD6ABB" w:rsidP="004321DB">
            <w:pPr>
              <w:pStyle w:val="Body1"/>
              <w:spacing w:line="276" w:lineRule="auto"/>
              <w:rPr>
                <w:rFonts w:ascii="Arial" w:hAnsi="Arial" w:cs="Arial"/>
                <w:sz w:val="22"/>
                <w:szCs w:val="22"/>
              </w:rPr>
            </w:pPr>
            <w:r w:rsidRPr="00D02B3A">
              <w:rPr>
                <w:rFonts w:ascii="Arial" w:hAnsi="Arial" w:cs="Arial"/>
                <w:sz w:val="22"/>
                <w:szCs w:val="22"/>
              </w:rPr>
              <w:t>Public Health</w:t>
            </w:r>
          </w:p>
        </w:tc>
        <w:tc>
          <w:tcPr>
            <w:tcW w:w="0" w:type="auto"/>
            <w:tcBorders>
              <w:left w:val="single" w:sz="4" w:space="0" w:color="auto"/>
              <w:bottom w:val="single" w:sz="4" w:space="0" w:color="auto"/>
              <w:right w:val="single" w:sz="4" w:space="0" w:color="auto"/>
            </w:tcBorders>
            <w:vAlign w:val="center"/>
          </w:tcPr>
          <w:p w14:paraId="354D6EE9" w14:textId="0212DEA4" w:rsidR="00AD6ABB" w:rsidRPr="00D02B3A" w:rsidRDefault="00D02B3A" w:rsidP="00230220">
            <w:pPr>
              <w:pStyle w:val="Body1"/>
              <w:spacing w:line="276" w:lineRule="auto"/>
              <w:jc w:val="center"/>
              <w:rPr>
                <w:rFonts w:ascii="Arial" w:hAnsi="Arial" w:cs="Arial"/>
                <w:sz w:val="22"/>
                <w:szCs w:val="22"/>
              </w:rPr>
            </w:pPr>
            <w:r w:rsidRPr="00D02B3A">
              <w:rPr>
                <w:rFonts w:ascii="Arial" w:hAnsi="Arial" w:cs="Arial"/>
                <w:sz w:val="22"/>
                <w:szCs w:val="22"/>
              </w:rPr>
              <w:t>66.6</w:t>
            </w:r>
          </w:p>
        </w:tc>
        <w:tc>
          <w:tcPr>
            <w:tcW w:w="0" w:type="auto"/>
            <w:tcBorders>
              <w:left w:val="single" w:sz="4" w:space="0" w:color="auto"/>
              <w:bottom w:val="single" w:sz="4" w:space="0" w:color="auto"/>
            </w:tcBorders>
            <w:vAlign w:val="center"/>
          </w:tcPr>
          <w:p w14:paraId="76A4B2FD" w14:textId="77777777" w:rsidR="00345D9F" w:rsidRPr="00D02B3A" w:rsidRDefault="00AD6ABB" w:rsidP="004321DB">
            <w:pPr>
              <w:pStyle w:val="Body1"/>
              <w:spacing w:line="276" w:lineRule="auto"/>
              <w:jc w:val="both"/>
              <w:rPr>
                <w:rFonts w:ascii="Arial" w:hAnsi="Arial" w:cs="Arial"/>
                <w:sz w:val="22"/>
                <w:szCs w:val="22"/>
              </w:rPr>
            </w:pPr>
            <w:r w:rsidRPr="00D02B3A">
              <w:rPr>
                <w:rFonts w:ascii="Arial" w:hAnsi="Arial" w:cs="Arial"/>
                <w:sz w:val="22"/>
                <w:szCs w:val="22"/>
              </w:rPr>
              <w:t>Ring fenced funding only able to be spent in accordance with the conditions of the grant</w:t>
            </w:r>
            <w:r w:rsidR="00345D9F" w:rsidRPr="00D02B3A">
              <w:rPr>
                <w:rFonts w:ascii="Arial" w:hAnsi="Arial" w:cs="Arial"/>
                <w:sz w:val="22"/>
                <w:szCs w:val="22"/>
              </w:rPr>
              <w:t>.</w:t>
            </w:r>
          </w:p>
        </w:tc>
      </w:tr>
    </w:tbl>
    <w:p w14:paraId="2D057EF7" w14:textId="77777777" w:rsidR="000C3CC5" w:rsidRDefault="000C3CC5" w:rsidP="004321DB">
      <w:pPr>
        <w:spacing w:after="0"/>
        <w:jc w:val="both"/>
        <w:rPr>
          <w:rFonts w:cs="Arial"/>
          <w:i/>
          <w:szCs w:val="24"/>
        </w:rPr>
      </w:pPr>
    </w:p>
    <w:p w14:paraId="66E3FF7E" w14:textId="77777777" w:rsidR="00F7294A" w:rsidRDefault="00F7294A" w:rsidP="004321DB">
      <w:pPr>
        <w:spacing w:after="0"/>
        <w:jc w:val="both"/>
        <w:rPr>
          <w:rFonts w:cs="Arial"/>
          <w:i/>
          <w:szCs w:val="24"/>
        </w:rPr>
      </w:pPr>
    </w:p>
    <w:p w14:paraId="53CD6967" w14:textId="77777777" w:rsidR="00F7294A" w:rsidRDefault="00F7294A" w:rsidP="004321DB">
      <w:pPr>
        <w:spacing w:after="0"/>
        <w:jc w:val="both"/>
        <w:rPr>
          <w:rFonts w:cs="Arial"/>
          <w:i/>
          <w:szCs w:val="24"/>
        </w:rPr>
      </w:pPr>
    </w:p>
    <w:p w14:paraId="0A516C16" w14:textId="77777777" w:rsidR="00F7294A" w:rsidRDefault="00F7294A" w:rsidP="004321DB">
      <w:pPr>
        <w:spacing w:after="0"/>
        <w:jc w:val="both"/>
        <w:rPr>
          <w:rFonts w:cs="Arial"/>
          <w:i/>
          <w:szCs w:val="24"/>
        </w:rPr>
      </w:pPr>
    </w:p>
    <w:p w14:paraId="70AC4F65" w14:textId="77777777" w:rsidR="00F7294A" w:rsidRDefault="00F7294A" w:rsidP="004321DB">
      <w:pPr>
        <w:spacing w:after="0"/>
        <w:jc w:val="both"/>
        <w:rPr>
          <w:rFonts w:cs="Arial"/>
          <w:i/>
          <w:szCs w:val="24"/>
        </w:rPr>
      </w:pPr>
    </w:p>
    <w:p w14:paraId="1D6ED9DE" w14:textId="77777777" w:rsidR="00F7294A" w:rsidRDefault="00F7294A" w:rsidP="004321DB">
      <w:pPr>
        <w:spacing w:after="0"/>
        <w:jc w:val="both"/>
        <w:rPr>
          <w:rFonts w:cs="Arial"/>
          <w:i/>
          <w:szCs w:val="24"/>
        </w:rPr>
      </w:pPr>
    </w:p>
    <w:p w14:paraId="40A8DD02" w14:textId="77777777" w:rsidR="00F7294A" w:rsidRDefault="00F7294A" w:rsidP="004321DB">
      <w:pPr>
        <w:spacing w:after="0"/>
        <w:jc w:val="both"/>
        <w:rPr>
          <w:rFonts w:cs="Arial"/>
          <w:i/>
          <w:szCs w:val="24"/>
        </w:rPr>
      </w:pPr>
    </w:p>
    <w:p w14:paraId="29337AE2" w14:textId="77777777" w:rsidR="00F7294A" w:rsidRDefault="00F7294A" w:rsidP="004321DB">
      <w:pPr>
        <w:spacing w:after="0"/>
        <w:jc w:val="both"/>
        <w:rPr>
          <w:rFonts w:cs="Arial"/>
          <w:i/>
          <w:szCs w:val="24"/>
        </w:rPr>
      </w:pPr>
    </w:p>
    <w:p w14:paraId="36FDEBD2" w14:textId="77777777" w:rsidR="00F7294A" w:rsidRDefault="00F7294A" w:rsidP="004321DB">
      <w:pPr>
        <w:spacing w:after="0"/>
        <w:jc w:val="both"/>
        <w:rPr>
          <w:rFonts w:cs="Arial"/>
          <w:i/>
          <w:szCs w:val="24"/>
        </w:rPr>
      </w:pPr>
    </w:p>
    <w:p w14:paraId="464CA836" w14:textId="77777777" w:rsidR="00F7294A" w:rsidRDefault="00F7294A" w:rsidP="004321DB">
      <w:pPr>
        <w:spacing w:after="0"/>
        <w:jc w:val="both"/>
        <w:rPr>
          <w:rFonts w:cs="Arial"/>
          <w:i/>
          <w:szCs w:val="24"/>
        </w:rPr>
      </w:pPr>
    </w:p>
    <w:p w14:paraId="05DE000E" w14:textId="77777777" w:rsidR="00F7294A" w:rsidRDefault="00F7294A" w:rsidP="004321DB">
      <w:pPr>
        <w:spacing w:after="0"/>
        <w:jc w:val="both"/>
        <w:rPr>
          <w:rFonts w:cs="Arial"/>
          <w:i/>
          <w:szCs w:val="24"/>
        </w:rPr>
      </w:pPr>
    </w:p>
    <w:p w14:paraId="30B4C3CC" w14:textId="77777777" w:rsidR="00F7294A" w:rsidRDefault="00F7294A" w:rsidP="004321DB">
      <w:pPr>
        <w:spacing w:after="0"/>
        <w:jc w:val="both"/>
        <w:rPr>
          <w:rFonts w:cs="Arial"/>
          <w:i/>
          <w:szCs w:val="24"/>
        </w:rPr>
      </w:pPr>
    </w:p>
    <w:p w14:paraId="21C8311E" w14:textId="77777777" w:rsidR="00F7294A" w:rsidRDefault="00F7294A" w:rsidP="004321DB">
      <w:pPr>
        <w:spacing w:after="0"/>
        <w:jc w:val="both"/>
        <w:rPr>
          <w:rFonts w:cs="Arial"/>
          <w:i/>
          <w:szCs w:val="24"/>
        </w:rPr>
      </w:pPr>
    </w:p>
    <w:p w14:paraId="181114BB" w14:textId="77777777" w:rsidR="00F7294A" w:rsidRDefault="00F7294A" w:rsidP="004321DB">
      <w:pPr>
        <w:spacing w:after="0"/>
        <w:jc w:val="both"/>
        <w:rPr>
          <w:rFonts w:cs="Arial"/>
          <w:i/>
          <w:szCs w:val="24"/>
        </w:rPr>
      </w:pPr>
    </w:p>
    <w:p w14:paraId="625512B0" w14:textId="77777777" w:rsidR="00F7294A" w:rsidRDefault="00F7294A" w:rsidP="004321DB">
      <w:pPr>
        <w:spacing w:after="0"/>
        <w:jc w:val="both"/>
        <w:rPr>
          <w:rFonts w:cs="Arial"/>
          <w:i/>
          <w:szCs w:val="24"/>
        </w:rPr>
      </w:pPr>
    </w:p>
    <w:p w14:paraId="74BAD216" w14:textId="77777777" w:rsidR="00F7294A" w:rsidRDefault="00F7294A" w:rsidP="004321DB">
      <w:pPr>
        <w:spacing w:after="0"/>
        <w:jc w:val="both"/>
        <w:rPr>
          <w:rFonts w:cs="Arial"/>
          <w:i/>
          <w:szCs w:val="24"/>
        </w:rPr>
      </w:pPr>
    </w:p>
    <w:p w14:paraId="3E1A8244" w14:textId="77777777" w:rsidR="00F7294A" w:rsidRDefault="00F7294A" w:rsidP="004321DB">
      <w:pPr>
        <w:spacing w:after="0"/>
        <w:jc w:val="both"/>
        <w:rPr>
          <w:rFonts w:cs="Arial"/>
          <w:i/>
          <w:szCs w:val="24"/>
        </w:rPr>
      </w:pPr>
    </w:p>
    <w:p w14:paraId="1A043050" w14:textId="77777777" w:rsidR="00F7294A" w:rsidRDefault="00F7294A" w:rsidP="004321DB">
      <w:pPr>
        <w:spacing w:after="0"/>
        <w:jc w:val="both"/>
        <w:rPr>
          <w:rFonts w:cs="Arial"/>
          <w:i/>
          <w:szCs w:val="24"/>
        </w:rPr>
      </w:pPr>
    </w:p>
    <w:p w14:paraId="2DBE3D16" w14:textId="77777777" w:rsidR="00F7294A" w:rsidRDefault="00F7294A" w:rsidP="004321DB">
      <w:pPr>
        <w:spacing w:after="0"/>
        <w:jc w:val="both"/>
        <w:rPr>
          <w:rFonts w:cs="Arial"/>
          <w:i/>
          <w:szCs w:val="24"/>
        </w:rPr>
      </w:pPr>
    </w:p>
    <w:p w14:paraId="763A4E87" w14:textId="77777777" w:rsidR="00F7294A" w:rsidRDefault="00F7294A" w:rsidP="004321DB">
      <w:pPr>
        <w:spacing w:after="0"/>
        <w:jc w:val="both"/>
        <w:rPr>
          <w:rFonts w:cs="Arial"/>
          <w:i/>
          <w:szCs w:val="24"/>
        </w:rPr>
      </w:pPr>
    </w:p>
    <w:p w14:paraId="35E39392" w14:textId="77777777" w:rsidR="00F7294A" w:rsidRDefault="00F7294A" w:rsidP="004321DB">
      <w:pPr>
        <w:spacing w:after="0"/>
        <w:jc w:val="both"/>
        <w:rPr>
          <w:rFonts w:cs="Arial"/>
          <w:i/>
          <w:szCs w:val="24"/>
        </w:rPr>
      </w:pPr>
    </w:p>
    <w:p w14:paraId="76A10BB2" w14:textId="77777777" w:rsidR="00F7294A" w:rsidRDefault="00F7294A" w:rsidP="004321DB">
      <w:pPr>
        <w:spacing w:after="0"/>
        <w:jc w:val="both"/>
        <w:rPr>
          <w:rFonts w:cs="Arial"/>
          <w:i/>
          <w:szCs w:val="24"/>
        </w:rPr>
      </w:pPr>
    </w:p>
    <w:p w14:paraId="1B4AACB1" w14:textId="77777777" w:rsidR="00F7294A" w:rsidRDefault="00F7294A" w:rsidP="004321DB">
      <w:pPr>
        <w:spacing w:after="0"/>
        <w:jc w:val="both"/>
        <w:rPr>
          <w:rFonts w:cs="Arial"/>
          <w:i/>
          <w:szCs w:val="24"/>
        </w:rPr>
      </w:pPr>
    </w:p>
    <w:p w14:paraId="1ACFD40D" w14:textId="77777777" w:rsidR="00F7294A" w:rsidRDefault="00F7294A" w:rsidP="004321DB">
      <w:pPr>
        <w:spacing w:after="0"/>
        <w:jc w:val="both"/>
        <w:rPr>
          <w:rFonts w:cs="Arial"/>
          <w:i/>
          <w:szCs w:val="24"/>
        </w:rPr>
      </w:pPr>
    </w:p>
    <w:p w14:paraId="3206B0B8" w14:textId="77777777" w:rsidR="00F7294A" w:rsidRDefault="00F7294A" w:rsidP="004321DB">
      <w:pPr>
        <w:spacing w:after="0"/>
        <w:jc w:val="both"/>
        <w:rPr>
          <w:rFonts w:cs="Arial"/>
          <w:i/>
          <w:szCs w:val="24"/>
        </w:rPr>
      </w:pPr>
    </w:p>
    <w:p w14:paraId="45B64CF3" w14:textId="77777777" w:rsidR="00F7294A" w:rsidRDefault="00F7294A" w:rsidP="004321DB">
      <w:pPr>
        <w:spacing w:after="0"/>
        <w:jc w:val="both"/>
        <w:rPr>
          <w:rFonts w:cs="Arial"/>
          <w:i/>
          <w:szCs w:val="24"/>
        </w:rPr>
      </w:pPr>
    </w:p>
    <w:p w14:paraId="7DB2D267" w14:textId="77777777" w:rsidR="00F7294A" w:rsidRDefault="00F7294A" w:rsidP="004321DB">
      <w:pPr>
        <w:spacing w:after="0"/>
        <w:jc w:val="both"/>
        <w:rPr>
          <w:rFonts w:cs="Arial"/>
          <w:i/>
          <w:szCs w:val="24"/>
        </w:rPr>
      </w:pPr>
    </w:p>
    <w:p w14:paraId="3A163FC7" w14:textId="2058713E" w:rsidR="00C145DE" w:rsidRPr="00D02B3A" w:rsidRDefault="00F7294A" w:rsidP="004321DB">
      <w:pPr>
        <w:spacing w:after="0"/>
        <w:jc w:val="both"/>
        <w:rPr>
          <w:rFonts w:cs="Arial"/>
          <w:i/>
          <w:szCs w:val="24"/>
        </w:rPr>
      </w:pPr>
      <w:r>
        <w:rPr>
          <w:rFonts w:cs="Arial"/>
          <w:i/>
          <w:szCs w:val="24"/>
        </w:rPr>
        <w:t>4</w:t>
      </w:r>
      <w:r w:rsidR="00B15270" w:rsidRPr="00D02B3A">
        <w:rPr>
          <w:rFonts w:cs="Arial"/>
          <w:i/>
          <w:szCs w:val="24"/>
        </w:rPr>
        <w:t>.6</w:t>
      </w:r>
      <w:r w:rsidR="00317423" w:rsidRPr="00D02B3A">
        <w:rPr>
          <w:rFonts w:cs="Arial"/>
          <w:i/>
          <w:szCs w:val="24"/>
        </w:rPr>
        <w:t xml:space="preserve"> </w:t>
      </w:r>
      <w:r w:rsidR="008D3C3D" w:rsidRPr="00D02B3A">
        <w:rPr>
          <w:rFonts w:cs="Arial"/>
          <w:i/>
          <w:szCs w:val="24"/>
        </w:rPr>
        <w:t>Reserves</w:t>
      </w:r>
    </w:p>
    <w:p w14:paraId="2AAB298E" w14:textId="77777777" w:rsidR="00230220" w:rsidRPr="00D02B3A" w:rsidRDefault="00230220" w:rsidP="004321DB">
      <w:pPr>
        <w:spacing w:after="0"/>
        <w:jc w:val="both"/>
        <w:rPr>
          <w:rFonts w:cs="Arial"/>
          <w:szCs w:val="24"/>
        </w:rPr>
      </w:pPr>
    </w:p>
    <w:p w14:paraId="25C67090" w14:textId="3E0ABA72" w:rsidR="004B3701" w:rsidRPr="00D02B3A" w:rsidRDefault="00BC46D7" w:rsidP="004B3701">
      <w:pPr>
        <w:autoSpaceDE w:val="0"/>
        <w:autoSpaceDN w:val="0"/>
        <w:adjustRightInd w:val="0"/>
        <w:spacing w:after="0" w:line="240" w:lineRule="auto"/>
        <w:ind w:right="-24"/>
        <w:jc w:val="both"/>
        <w:rPr>
          <w:rFonts w:eastAsia="Calibri" w:cs="Arial"/>
          <w:color w:val="000000"/>
          <w:szCs w:val="24"/>
        </w:rPr>
      </w:pPr>
      <w:r w:rsidRPr="00D02B3A">
        <w:rPr>
          <w:rFonts w:eastAsia="Calibri" w:cs="Arial"/>
          <w:color w:val="000000"/>
          <w:szCs w:val="24"/>
        </w:rPr>
        <w:t xml:space="preserve">The latest </w:t>
      </w:r>
      <w:r w:rsidR="00C727DC" w:rsidRPr="00D02B3A">
        <w:rPr>
          <w:rFonts w:eastAsia="Calibri" w:cs="Arial"/>
          <w:color w:val="000000"/>
          <w:szCs w:val="24"/>
        </w:rPr>
        <w:t xml:space="preserve">reserves </w:t>
      </w:r>
      <w:r w:rsidRPr="00D02B3A">
        <w:rPr>
          <w:rFonts w:eastAsia="Calibri" w:cs="Arial"/>
          <w:color w:val="000000"/>
          <w:szCs w:val="24"/>
        </w:rPr>
        <w:t xml:space="preserve">positon agreed by Cabinet is shown in Table </w:t>
      </w:r>
      <w:r w:rsidR="004A0538">
        <w:rPr>
          <w:rFonts w:eastAsia="Calibri" w:cs="Arial"/>
          <w:color w:val="000000"/>
          <w:szCs w:val="24"/>
        </w:rPr>
        <w:t>7</w:t>
      </w:r>
      <w:r w:rsidR="00C727DC" w:rsidRPr="00D02B3A">
        <w:rPr>
          <w:rFonts w:eastAsia="Calibri" w:cs="Arial"/>
          <w:color w:val="000000"/>
          <w:szCs w:val="24"/>
        </w:rPr>
        <w:t xml:space="preserve"> and this includes the impact of the forecast revenue underspend.</w:t>
      </w:r>
    </w:p>
    <w:p w14:paraId="6BE5472F" w14:textId="655A0253" w:rsidR="00C749A3" w:rsidRPr="00D02B3A" w:rsidRDefault="00BC46D7" w:rsidP="004B3701">
      <w:pPr>
        <w:autoSpaceDE w:val="0"/>
        <w:autoSpaceDN w:val="0"/>
        <w:adjustRightInd w:val="0"/>
        <w:spacing w:after="0" w:line="240" w:lineRule="auto"/>
        <w:ind w:right="-24"/>
        <w:jc w:val="both"/>
        <w:rPr>
          <w:rFonts w:eastAsia="Calibri" w:cs="Arial"/>
          <w:color w:val="000000"/>
          <w:szCs w:val="24"/>
        </w:rPr>
      </w:pPr>
      <w:r w:rsidRPr="00D02B3A">
        <w:rPr>
          <w:rFonts w:eastAsia="Calibri" w:cs="Arial"/>
          <w:color w:val="000000"/>
          <w:szCs w:val="24"/>
        </w:rPr>
        <w:t xml:space="preserve"> </w:t>
      </w:r>
    </w:p>
    <w:p w14:paraId="3CC4CEEE" w14:textId="4097D893" w:rsidR="00BC46D7" w:rsidRPr="00D02B3A" w:rsidRDefault="00F7294A" w:rsidP="00BC46D7">
      <w:pPr>
        <w:spacing w:after="0"/>
        <w:ind w:left="720" w:hanging="720"/>
        <w:jc w:val="both"/>
        <w:rPr>
          <w:rFonts w:cs="Arial"/>
          <w:b/>
          <w:szCs w:val="24"/>
          <w:u w:val="single"/>
        </w:rPr>
      </w:pPr>
      <w:r>
        <w:rPr>
          <w:rFonts w:cs="Arial"/>
          <w:b/>
          <w:szCs w:val="24"/>
          <w:u w:val="single"/>
        </w:rPr>
        <w:t>Table 7</w:t>
      </w:r>
    </w:p>
    <w:p w14:paraId="66E86C1F" w14:textId="77777777" w:rsidR="00F8395F" w:rsidRPr="00DE45C1" w:rsidRDefault="00F8395F" w:rsidP="00BC46D7">
      <w:pPr>
        <w:spacing w:after="0"/>
        <w:ind w:left="720" w:hanging="720"/>
        <w:jc w:val="both"/>
        <w:rPr>
          <w:rFonts w:cs="Arial"/>
          <w:b/>
          <w:szCs w:val="24"/>
          <w:highlight w:val="yellow"/>
          <w:u w:val="single"/>
        </w:rPr>
      </w:pPr>
    </w:p>
    <w:tbl>
      <w:tblPr>
        <w:tblW w:w="9742" w:type="dxa"/>
        <w:tblLook w:val="04A0" w:firstRow="1" w:lastRow="0" w:firstColumn="1" w:lastColumn="0" w:noHBand="0" w:noVBand="1"/>
      </w:tblPr>
      <w:tblGrid>
        <w:gridCol w:w="2062"/>
        <w:gridCol w:w="965"/>
        <w:gridCol w:w="1141"/>
        <w:gridCol w:w="1027"/>
        <w:gridCol w:w="1027"/>
        <w:gridCol w:w="883"/>
        <w:gridCol w:w="883"/>
        <w:gridCol w:w="883"/>
        <w:gridCol w:w="871"/>
      </w:tblGrid>
      <w:tr w:rsidR="00D02B3A" w:rsidRPr="00D02B3A" w14:paraId="29A98D7A" w14:textId="77777777" w:rsidTr="00D02B3A">
        <w:trPr>
          <w:trHeight w:val="969"/>
        </w:trPr>
        <w:tc>
          <w:tcPr>
            <w:tcW w:w="2834"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084E05B2" w14:textId="77777777" w:rsidR="00D02B3A" w:rsidRPr="00D02B3A" w:rsidRDefault="00D02B3A" w:rsidP="00D02B3A">
            <w:pPr>
              <w:spacing w:after="0" w:line="240" w:lineRule="auto"/>
              <w:jc w:val="center"/>
              <w:rPr>
                <w:rFonts w:cs="Arial"/>
                <w:b/>
                <w:bCs/>
                <w:color w:val="000000"/>
                <w:sz w:val="18"/>
                <w:szCs w:val="18"/>
                <w:lang w:eastAsia="en-GB"/>
              </w:rPr>
            </w:pPr>
            <w:r w:rsidRPr="00D02B3A">
              <w:rPr>
                <w:rFonts w:cs="Arial"/>
                <w:b/>
                <w:bCs/>
                <w:color w:val="000000"/>
                <w:sz w:val="18"/>
                <w:szCs w:val="18"/>
                <w:lang w:eastAsia="en-GB"/>
              </w:rPr>
              <w:t>Reserve Name</w:t>
            </w:r>
          </w:p>
        </w:tc>
        <w:tc>
          <w:tcPr>
            <w:tcW w:w="965" w:type="dxa"/>
            <w:tcBorders>
              <w:top w:val="single" w:sz="8" w:space="0" w:color="auto"/>
              <w:left w:val="nil"/>
              <w:bottom w:val="single" w:sz="4" w:space="0" w:color="auto"/>
              <w:right w:val="single" w:sz="4" w:space="0" w:color="auto"/>
            </w:tcBorders>
            <w:shd w:val="clear" w:color="000000" w:fill="BFBFBF"/>
            <w:vAlign w:val="center"/>
            <w:hideMark/>
          </w:tcPr>
          <w:p w14:paraId="343D35B6"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Opening Balance 2018/19</w:t>
            </w:r>
          </w:p>
        </w:tc>
        <w:tc>
          <w:tcPr>
            <w:tcW w:w="957" w:type="dxa"/>
            <w:tcBorders>
              <w:top w:val="single" w:sz="8" w:space="0" w:color="auto"/>
              <w:left w:val="nil"/>
              <w:bottom w:val="single" w:sz="4" w:space="0" w:color="auto"/>
              <w:right w:val="single" w:sz="4" w:space="0" w:color="auto"/>
            </w:tcBorders>
            <w:shd w:val="clear" w:color="000000" w:fill="BFBFBF"/>
            <w:vAlign w:val="center"/>
            <w:hideMark/>
          </w:tcPr>
          <w:p w14:paraId="2B425BDD" w14:textId="4B0B5768"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 xml:space="preserve">2018/19 </w:t>
            </w:r>
            <w:r w:rsidR="00515C87">
              <w:rPr>
                <w:rFonts w:cs="Arial"/>
                <w:b/>
                <w:bCs/>
                <w:color w:val="000000"/>
                <w:sz w:val="16"/>
                <w:szCs w:val="16"/>
                <w:lang w:eastAsia="en-GB"/>
              </w:rPr>
              <w:t xml:space="preserve">Forecast </w:t>
            </w:r>
            <w:r w:rsidRPr="00D02B3A">
              <w:rPr>
                <w:rFonts w:cs="Arial"/>
                <w:b/>
                <w:bCs/>
                <w:color w:val="000000"/>
                <w:sz w:val="16"/>
                <w:szCs w:val="16"/>
                <w:lang w:eastAsia="en-GB"/>
              </w:rPr>
              <w:t>Expenditure</w:t>
            </w:r>
          </w:p>
        </w:tc>
        <w:tc>
          <w:tcPr>
            <w:tcW w:w="1027" w:type="dxa"/>
            <w:tcBorders>
              <w:top w:val="single" w:sz="8" w:space="0" w:color="auto"/>
              <w:left w:val="nil"/>
              <w:bottom w:val="single" w:sz="4" w:space="0" w:color="auto"/>
              <w:right w:val="single" w:sz="4" w:space="0" w:color="auto"/>
            </w:tcBorders>
            <w:shd w:val="clear" w:color="000000" w:fill="BFBFBF"/>
            <w:vAlign w:val="center"/>
            <w:hideMark/>
          </w:tcPr>
          <w:p w14:paraId="2BCAF179"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2018/19 transfers to / from other reserves</w:t>
            </w:r>
          </w:p>
        </w:tc>
        <w:tc>
          <w:tcPr>
            <w:tcW w:w="1027" w:type="dxa"/>
            <w:tcBorders>
              <w:top w:val="single" w:sz="8" w:space="0" w:color="auto"/>
              <w:left w:val="nil"/>
              <w:bottom w:val="single" w:sz="4" w:space="0" w:color="auto"/>
              <w:right w:val="single" w:sz="4" w:space="0" w:color="auto"/>
            </w:tcBorders>
            <w:shd w:val="clear" w:color="000000" w:fill="BFBFBF"/>
            <w:vAlign w:val="center"/>
            <w:hideMark/>
          </w:tcPr>
          <w:p w14:paraId="239E6DAD"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2018-19 Transfers from revenue budget</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14:paraId="0FE23A9A"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2018/19 Forecast Closing Balance</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14:paraId="74EED49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2019/20 Forecast Spend</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14:paraId="095FDE30"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2020/21 Forecast Spend</w:t>
            </w:r>
          </w:p>
        </w:tc>
        <w:tc>
          <w:tcPr>
            <w:tcW w:w="871" w:type="dxa"/>
            <w:tcBorders>
              <w:top w:val="single" w:sz="8" w:space="0" w:color="auto"/>
              <w:left w:val="nil"/>
              <w:bottom w:val="single" w:sz="4" w:space="0" w:color="auto"/>
              <w:right w:val="single" w:sz="8" w:space="0" w:color="auto"/>
            </w:tcBorders>
            <w:shd w:val="clear" w:color="000000" w:fill="BFBFBF"/>
            <w:vAlign w:val="center"/>
            <w:hideMark/>
          </w:tcPr>
          <w:p w14:paraId="3DDB85D2"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Total as at 31 March 2021</w:t>
            </w:r>
          </w:p>
        </w:tc>
      </w:tr>
      <w:tr w:rsidR="00D02B3A" w:rsidRPr="00D02B3A" w14:paraId="421D68C7" w14:textId="77777777" w:rsidTr="00D02B3A">
        <w:trPr>
          <w:trHeight w:val="242"/>
        </w:trPr>
        <w:tc>
          <w:tcPr>
            <w:tcW w:w="2834" w:type="dxa"/>
            <w:tcBorders>
              <w:top w:val="nil"/>
              <w:left w:val="single" w:sz="8" w:space="0" w:color="auto"/>
              <w:bottom w:val="single" w:sz="4" w:space="0" w:color="auto"/>
              <w:right w:val="single" w:sz="4" w:space="0" w:color="auto"/>
            </w:tcBorders>
            <w:shd w:val="clear" w:color="000000" w:fill="BFBFBF"/>
            <w:vAlign w:val="bottom"/>
            <w:hideMark/>
          </w:tcPr>
          <w:p w14:paraId="68A54008"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 </w:t>
            </w:r>
          </w:p>
        </w:tc>
        <w:tc>
          <w:tcPr>
            <w:tcW w:w="965" w:type="dxa"/>
            <w:tcBorders>
              <w:top w:val="nil"/>
              <w:left w:val="nil"/>
              <w:bottom w:val="single" w:sz="4" w:space="0" w:color="auto"/>
              <w:right w:val="single" w:sz="4" w:space="0" w:color="auto"/>
            </w:tcBorders>
            <w:shd w:val="clear" w:color="000000" w:fill="BFBFBF"/>
            <w:noWrap/>
            <w:vAlign w:val="bottom"/>
            <w:hideMark/>
          </w:tcPr>
          <w:p w14:paraId="26967462"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957" w:type="dxa"/>
            <w:tcBorders>
              <w:top w:val="nil"/>
              <w:left w:val="nil"/>
              <w:bottom w:val="single" w:sz="4" w:space="0" w:color="auto"/>
              <w:right w:val="single" w:sz="4" w:space="0" w:color="auto"/>
            </w:tcBorders>
            <w:shd w:val="clear" w:color="000000" w:fill="BFBFBF"/>
            <w:noWrap/>
            <w:vAlign w:val="center"/>
            <w:hideMark/>
          </w:tcPr>
          <w:p w14:paraId="74FBA8A4"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1027" w:type="dxa"/>
            <w:tcBorders>
              <w:top w:val="nil"/>
              <w:left w:val="nil"/>
              <w:bottom w:val="single" w:sz="4" w:space="0" w:color="auto"/>
              <w:right w:val="single" w:sz="4" w:space="0" w:color="auto"/>
            </w:tcBorders>
            <w:shd w:val="clear" w:color="000000" w:fill="BFBFBF"/>
            <w:noWrap/>
            <w:vAlign w:val="center"/>
            <w:hideMark/>
          </w:tcPr>
          <w:p w14:paraId="7581A1F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1027" w:type="dxa"/>
            <w:tcBorders>
              <w:top w:val="nil"/>
              <w:left w:val="nil"/>
              <w:bottom w:val="single" w:sz="4" w:space="0" w:color="auto"/>
              <w:right w:val="single" w:sz="4" w:space="0" w:color="auto"/>
            </w:tcBorders>
            <w:shd w:val="clear" w:color="000000" w:fill="BFBFBF"/>
            <w:noWrap/>
            <w:vAlign w:val="center"/>
            <w:hideMark/>
          </w:tcPr>
          <w:p w14:paraId="0930AEB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 </w:t>
            </w:r>
          </w:p>
        </w:tc>
        <w:tc>
          <w:tcPr>
            <w:tcW w:w="687" w:type="dxa"/>
            <w:tcBorders>
              <w:top w:val="nil"/>
              <w:left w:val="nil"/>
              <w:bottom w:val="single" w:sz="4" w:space="0" w:color="auto"/>
              <w:right w:val="single" w:sz="4" w:space="0" w:color="auto"/>
            </w:tcBorders>
            <w:shd w:val="clear" w:color="000000" w:fill="BFBFBF"/>
            <w:noWrap/>
            <w:vAlign w:val="bottom"/>
            <w:hideMark/>
          </w:tcPr>
          <w:p w14:paraId="2BAC99A6"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687" w:type="dxa"/>
            <w:tcBorders>
              <w:top w:val="nil"/>
              <w:left w:val="nil"/>
              <w:bottom w:val="single" w:sz="4" w:space="0" w:color="auto"/>
              <w:right w:val="single" w:sz="4" w:space="0" w:color="auto"/>
            </w:tcBorders>
            <w:shd w:val="clear" w:color="000000" w:fill="BFBFBF"/>
            <w:noWrap/>
            <w:vAlign w:val="bottom"/>
            <w:hideMark/>
          </w:tcPr>
          <w:p w14:paraId="178F3AFE"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687" w:type="dxa"/>
            <w:tcBorders>
              <w:top w:val="nil"/>
              <w:left w:val="nil"/>
              <w:bottom w:val="single" w:sz="4" w:space="0" w:color="auto"/>
              <w:right w:val="single" w:sz="4" w:space="0" w:color="auto"/>
            </w:tcBorders>
            <w:shd w:val="clear" w:color="000000" w:fill="BFBFBF"/>
            <w:noWrap/>
            <w:vAlign w:val="bottom"/>
            <w:hideMark/>
          </w:tcPr>
          <w:p w14:paraId="6CD6D2E6"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c>
          <w:tcPr>
            <w:tcW w:w="871" w:type="dxa"/>
            <w:tcBorders>
              <w:top w:val="nil"/>
              <w:left w:val="nil"/>
              <w:bottom w:val="single" w:sz="4" w:space="0" w:color="auto"/>
              <w:right w:val="single" w:sz="8" w:space="0" w:color="auto"/>
            </w:tcBorders>
            <w:shd w:val="clear" w:color="000000" w:fill="BFBFBF"/>
            <w:noWrap/>
            <w:vAlign w:val="bottom"/>
            <w:hideMark/>
          </w:tcPr>
          <w:p w14:paraId="0865BD57"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£m</w:t>
            </w:r>
          </w:p>
        </w:tc>
      </w:tr>
      <w:tr w:rsidR="00D02B3A" w:rsidRPr="00D02B3A" w14:paraId="56F0EA00"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7D4980A4"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County Fund</w:t>
            </w:r>
          </w:p>
        </w:tc>
        <w:tc>
          <w:tcPr>
            <w:tcW w:w="965" w:type="dxa"/>
            <w:tcBorders>
              <w:top w:val="nil"/>
              <w:left w:val="nil"/>
              <w:bottom w:val="single" w:sz="4" w:space="0" w:color="auto"/>
              <w:right w:val="single" w:sz="4" w:space="0" w:color="auto"/>
            </w:tcBorders>
            <w:shd w:val="clear" w:color="auto" w:fill="auto"/>
            <w:noWrap/>
            <w:vAlign w:val="center"/>
            <w:hideMark/>
          </w:tcPr>
          <w:p w14:paraId="07D9186E"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-23.437</w:t>
            </w:r>
          </w:p>
        </w:tc>
        <w:tc>
          <w:tcPr>
            <w:tcW w:w="957" w:type="dxa"/>
            <w:tcBorders>
              <w:top w:val="nil"/>
              <w:left w:val="nil"/>
              <w:bottom w:val="single" w:sz="4" w:space="0" w:color="auto"/>
              <w:right w:val="single" w:sz="4" w:space="0" w:color="auto"/>
            </w:tcBorders>
            <w:shd w:val="clear" w:color="auto" w:fill="auto"/>
            <w:noWrap/>
            <w:vAlign w:val="center"/>
            <w:hideMark/>
          </w:tcPr>
          <w:p w14:paraId="2E8AE963"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1027" w:type="dxa"/>
            <w:tcBorders>
              <w:top w:val="nil"/>
              <w:left w:val="nil"/>
              <w:bottom w:val="single" w:sz="4" w:space="0" w:color="auto"/>
              <w:right w:val="single" w:sz="4" w:space="0" w:color="auto"/>
            </w:tcBorders>
            <w:shd w:val="clear" w:color="auto" w:fill="auto"/>
            <w:noWrap/>
            <w:vAlign w:val="center"/>
            <w:hideMark/>
          </w:tcPr>
          <w:p w14:paraId="2228420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1027" w:type="dxa"/>
            <w:tcBorders>
              <w:top w:val="nil"/>
              <w:left w:val="nil"/>
              <w:bottom w:val="single" w:sz="4" w:space="0" w:color="auto"/>
              <w:right w:val="single" w:sz="4" w:space="0" w:color="auto"/>
            </w:tcBorders>
            <w:shd w:val="clear" w:color="auto" w:fill="auto"/>
            <w:noWrap/>
            <w:vAlign w:val="center"/>
            <w:hideMark/>
          </w:tcPr>
          <w:p w14:paraId="7D78B4F7"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14:paraId="1AC3661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-23.437</w:t>
            </w:r>
          </w:p>
        </w:tc>
        <w:tc>
          <w:tcPr>
            <w:tcW w:w="687" w:type="dxa"/>
            <w:tcBorders>
              <w:top w:val="nil"/>
              <w:left w:val="nil"/>
              <w:bottom w:val="single" w:sz="4" w:space="0" w:color="auto"/>
              <w:right w:val="single" w:sz="4" w:space="0" w:color="auto"/>
            </w:tcBorders>
            <w:shd w:val="clear" w:color="auto" w:fill="auto"/>
            <w:noWrap/>
            <w:vAlign w:val="center"/>
            <w:hideMark/>
          </w:tcPr>
          <w:p w14:paraId="552F30E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auto" w:fill="auto"/>
            <w:noWrap/>
            <w:vAlign w:val="center"/>
            <w:hideMark/>
          </w:tcPr>
          <w:p w14:paraId="0E73030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14:paraId="6D46F9FA"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-23.437</w:t>
            </w:r>
          </w:p>
        </w:tc>
      </w:tr>
      <w:tr w:rsidR="00D02B3A" w:rsidRPr="00D02B3A" w14:paraId="20AFE98D" w14:textId="77777777" w:rsidTr="00D02B3A">
        <w:trPr>
          <w:trHeight w:val="606"/>
        </w:trPr>
        <w:tc>
          <w:tcPr>
            <w:tcW w:w="2834" w:type="dxa"/>
            <w:tcBorders>
              <w:top w:val="nil"/>
              <w:left w:val="single" w:sz="8" w:space="0" w:color="auto"/>
              <w:bottom w:val="single" w:sz="8" w:space="0" w:color="auto"/>
              <w:right w:val="single" w:sz="4" w:space="0" w:color="auto"/>
            </w:tcBorders>
            <w:shd w:val="clear" w:color="000000" w:fill="BFBFBF"/>
            <w:vAlign w:val="center"/>
            <w:hideMark/>
          </w:tcPr>
          <w:p w14:paraId="734DD757" w14:textId="77777777" w:rsidR="00D02B3A" w:rsidRPr="00D02B3A" w:rsidRDefault="00D02B3A" w:rsidP="00D02B3A">
            <w:pPr>
              <w:spacing w:after="0" w:line="240" w:lineRule="auto"/>
              <w:rPr>
                <w:rFonts w:cs="Arial"/>
                <w:b/>
                <w:bCs/>
                <w:color w:val="000000"/>
                <w:sz w:val="16"/>
                <w:szCs w:val="16"/>
                <w:lang w:eastAsia="en-GB"/>
              </w:rPr>
            </w:pPr>
            <w:r w:rsidRPr="00D02B3A">
              <w:rPr>
                <w:rFonts w:cs="Arial"/>
                <w:b/>
                <w:bCs/>
                <w:color w:val="000000"/>
                <w:sz w:val="16"/>
                <w:szCs w:val="16"/>
                <w:lang w:eastAsia="en-GB"/>
              </w:rPr>
              <w:t>SUB TOTAL - COUNTY FUND</w:t>
            </w:r>
          </w:p>
        </w:tc>
        <w:tc>
          <w:tcPr>
            <w:tcW w:w="965" w:type="dxa"/>
            <w:tcBorders>
              <w:top w:val="nil"/>
              <w:left w:val="nil"/>
              <w:bottom w:val="single" w:sz="8" w:space="0" w:color="auto"/>
              <w:right w:val="single" w:sz="4" w:space="0" w:color="auto"/>
            </w:tcBorders>
            <w:shd w:val="clear" w:color="000000" w:fill="BFBFBF"/>
            <w:noWrap/>
            <w:vAlign w:val="center"/>
            <w:hideMark/>
          </w:tcPr>
          <w:p w14:paraId="0C4B208A"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-23.437</w:t>
            </w:r>
          </w:p>
        </w:tc>
        <w:tc>
          <w:tcPr>
            <w:tcW w:w="957" w:type="dxa"/>
            <w:tcBorders>
              <w:top w:val="nil"/>
              <w:left w:val="nil"/>
              <w:bottom w:val="single" w:sz="8" w:space="0" w:color="auto"/>
              <w:right w:val="single" w:sz="4" w:space="0" w:color="auto"/>
            </w:tcBorders>
            <w:shd w:val="clear" w:color="000000" w:fill="BFBFBF"/>
            <w:noWrap/>
            <w:vAlign w:val="center"/>
            <w:hideMark/>
          </w:tcPr>
          <w:p w14:paraId="392C1265"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1027" w:type="dxa"/>
            <w:tcBorders>
              <w:top w:val="nil"/>
              <w:left w:val="nil"/>
              <w:bottom w:val="single" w:sz="8" w:space="0" w:color="auto"/>
              <w:right w:val="single" w:sz="4" w:space="0" w:color="auto"/>
            </w:tcBorders>
            <w:shd w:val="clear" w:color="000000" w:fill="BFBFBF"/>
            <w:noWrap/>
            <w:vAlign w:val="center"/>
            <w:hideMark/>
          </w:tcPr>
          <w:p w14:paraId="6ACA725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1027" w:type="dxa"/>
            <w:tcBorders>
              <w:top w:val="nil"/>
              <w:left w:val="nil"/>
              <w:bottom w:val="single" w:sz="8" w:space="0" w:color="auto"/>
              <w:right w:val="single" w:sz="4" w:space="0" w:color="auto"/>
            </w:tcBorders>
            <w:shd w:val="clear" w:color="000000" w:fill="BFBFBF"/>
            <w:noWrap/>
            <w:vAlign w:val="center"/>
            <w:hideMark/>
          </w:tcPr>
          <w:p w14:paraId="7392A3DD"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14:paraId="5BA55124"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-23.437</w:t>
            </w:r>
          </w:p>
        </w:tc>
        <w:tc>
          <w:tcPr>
            <w:tcW w:w="687" w:type="dxa"/>
            <w:tcBorders>
              <w:top w:val="nil"/>
              <w:left w:val="nil"/>
              <w:bottom w:val="single" w:sz="8" w:space="0" w:color="auto"/>
              <w:right w:val="single" w:sz="4" w:space="0" w:color="auto"/>
            </w:tcBorders>
            <w:shd w:val="clear" w:color="000000" w:fill="BFBFBF"/>
            <w:noWrap/>
            <w:vAlign w:val="center"/>
            <w:hideMark/>
          </w:tcPr>
          <w:p w14:paraId="7026B5A8"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14:paraId="1813D73C"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871" w:type="dxa"/>
            <w:tcBorders>
              <w:top w:val="nil"/>
              <w:left w:val="nil"/>
              <w:bottom w:val="single" w:sz="8" w:space="0" w:color="auto"/>
              <w:right w:val="single" w:sz="8" w:space="0" w:color="auto"/>
            </w:tcBorders>
            <w:shd w:val="clear" w:color="000000" w:fill="BFBFBF"/>
            <w:noWrap/>
            <w:vAlign w:val="center"/>
            <w:hideMark/>
          </w:tcPr>
          <w:p w14:paraId="4C34CD2C"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-23.437</w:t>
            </w:r>
          </w:p>
        </w:tc>
      </w:tr>
      <w:tr w:rsidR="00D02B3A" w:rsidRPr="00D02B3A" w14:paraId="688FFB59"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179F9487"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Strategic Investment Reserve</w:t>
            </w:r>
          </w:p>
        </w:tc>
        <w:tc>
          <w:tcPr>
            <w:tcW w:w="965" w:type="dxa"/>
            <w:tcBorders>
              <w:top w:val="nil"/>
              <w:left w:val="nil"/>
              <w:bottom w:val="single" w:sz="4" w:space="0" w:color="auto"/>
              <w:right w:val="single" w:sz="4" w:space="0" w:color="auto"/>
            </w:tcBorders>
            <w:shd w:val="clear" w:color="auto" w:fill="auto"/>
            <w:noWrap/>
            <w:vAlign w:val="center"/>
            <w:hideMark/>
          </w:tcPr>
          <w:p w14:paraId="6011AB66"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-3.765</w:t>
            </w:r>
          </w:p>
        </w:tc>
        <w:tc>
          <w:tcPr>
            <w:tcW w:w="957" w:type="dxa"/>
            <w:tcBorders>
              <w:top w:val="nil"/>
              <w:left w:val="nil"/>
              <w:bottom w:val="single" w:sz="4" w:space="0" w:color="auto"/>
              <w:right w:val="single" w:sz="4" w:space="0" w:color="auto"/>
            </w:tcBorders>
            <w:shd w:val="clear" w:color="auto" w:fill="auto"/>
            <w:noWrap/>
            <w:vAlign w:val="center"/>
            <w:hideMark/>
          </w:tcPr>
          <w:p w14:paraId="20E95647"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0.740</w:t>
            </w:r>
          </w:p>
        </w:tc>
        <w:tc>
          <w:tcPr>
            <w:tcW w:w="1027" w:type="dxa"/>
            <w:tcBorders>
              <w:top w:val="nil"/>
              <w:left w:val="nil"/>
              <w:bottom w:val="single" w:sz="4" w:space="0" w:color="auto"/>
              <w:right w:val="single" w:sz="4" w:space="0" w:color="auto"/>
            </w:tcBorders>
            <w:shd w:val="clear" w:color="auto" w:fill="auto"/>
            <w:noWrap/>
            <w:vAlign w:val="center"/>
            <w:hideMark/>
          </w:tcPr>
          <w:p w14:paraId="329F9CB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1.679</w:t>
            </w:r>
          </w:p>
        </w:tc>
        <w:tc>
          <w:tcPr>
            <w:tcW w:w="1027" w:type="dxa"/>
            <w:tcBorders>
              <w:top w:val="nil"/>
              <w:left w:val="nil"/>
              <w:bottom w:val="single" w:sz="4" w:space="0" w:color="auto"/>
              <w:right w:val="single" w:sz="4" w:space="0" w:color="auto"/>
            </w:tcBorders>
            <w:shd w:val="clear" w:color="auto" w:fill="auto"/>
            <w:noWrap/>
            <w:vAlign w:val="center"/>
            <w:hideMark/>
          </w:tcPr>
          <w:p w14:paraId="304ADCF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single" w:sz="4" w:space="0" w:color="auto"/>
              <w:left w:val="nil"/>
              <w:bottom w:val="single" w:sz="4" w:space="0" w:color="auto"/>
              <w:right w:val="single" w:sz="4" w:space="0" w:color="auto"/>
            </w:tcBorders>
            <w:shd w:val="clear" w:color="000000" w:fill="BFBFBF"/>
            <w:noWrap/>
            <w:vAlign w:val="center"/>
            <w:hideMark/>
          </w:tcPr>
          <w:p w14:paraId="430AA43A"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-1.346</w:t>
            </w:r>
          </w:p>
        </w:tc>
        <w:tc>
          <w:tcPr>
            <w:tcW w:w="687" w:type="dxa"/>
            <w:tcBorders>
              <w:top w:val="nil"/>
              <w:left w:val="nil"/>
              <w:bottom w:val="single" w:sz="4" w:space="0" w:color="auto"/>
              <w:right w:val="single" w:sz="4" w:space="0" w:color="auto"/>
            </w:tcBorders>
            <w:shd w:val="clear" w:color="auto" w:fill="auto"/>
            <w:noWrap/>
            <w:vAlign w:val="center"/>
            <w:hideMark/>
          </w:tcPr>
          <w:p w14:paraId="0A4B1206"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0.350</w:t>
            </w:r>
          </w:p>
        </w:tc>
        <w:tc>
          <w:tcPr>
            <w:tcW w:w="687" w:type="dxa"/>
            <w:tcBorders>
              <w:top w:val="nil"/>
              <w:left w:val="nil"/>
              <w:bottom w:val="single" w:sz="4" w:space="0" w:color="auto"/>
              <w:right w:val="single" w:sz="4" w:space="0" w:color="auto"/>
            </w:tcBorders>
            <w:shd w:val="clear" w:color="auto" w:fill="auto"/>
            <w:noWrap/>
            <w:vAlign w:val="center"/>
            <w:hideMark/>
          </w:tcPr>
          <w:p w14:paraId="7CFF388F"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0.850</w:t>
            </w:r>
          </w:p>
        </w:tc>
        <w:tc>
          <w:tcPr>
            <w:tcW w:w="871" w:type="dxa"/>
            <w:tcBorders>
              <w:top w:val="nil"/>
              <w:left w:val="nil"/>
              <w:bottom w:val="single" w:sz="4" w:space="0" w:color="auto"/>
              <w:right w:val="single" w:sz="8" w:space="0" w:color="auto"/>
            </w:tcBorders>
            <w:shd w:val="clear" w:color="000000" w:fill="BFBFBF"/>
            <w:noWrap/>
            <w:vAlign w:val="center"/>
            <w:hideMark/>
          </w:tcPr>
          <w:p w14:paraId="6629B19F"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-0.146</w:t>
            </w:r>
          </w:p>
        </w:tc>
      </w:tr>
      <w:tr w:rsidR="00D02B3A" w:rsidRPr="00D02B3A" w14:paraId="1F1268FD"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76AA7652"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Downsizing Reserve</w:t>
            </w:r>
          </w:p>
        </w:tc>
        <w:tc>
          <w:tcPr>
            <w:tcW w:w="965" w:type="dxa"/>
            <w:tcBorders>
              <w:top w:val="nil"/>
              <w:left w:val="nil"/>
              <w:bottom w:val="single" w:sz="4" w:space="0" w:color="auto"/>
              <w:right w:val="single" w:sz="4" w:space="0" w:color="auto"/>
            </w:tcBorders>
            <w:shd w:val="clear" w:color="auto" w:fill="auto"/>
            <w:noWrap/>
            <w:vAlign w:val="center"/>
            <w:hideMark/>
          </w:tcPr>
          <w:p w14:paraId="048A24B3"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-13.891</w:t>
            </w:r>
          </w:p>
        </w:tc>
        <w:tc>
          <w:tcPr>
            <w:tcW w:w="957" w:type="dxa"/>
            <w:tcBorders>
              <w:top w:val="nil"/>
              <w:left w:val="nil"/>
              <w:bottom w:val="single" w:sz="4" w:space="0" w:color="auto"/>
              <w:right w:val="single" w:sz="4" w:space="0" w:color="auto"/>
            </w:tcBorders>
            <w:shd w:val="clear" w:color="auto" w:fill="auto"/>
            <w:noWrap/>
            <w:vAlign w:val="center"/>
            <w:hideMark/>
          </w:tcPr>
          <w:p w14:paraId="42AE92B6"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3.346</w:t>
            </w:r>
          </w:p>
        </w:tc>
        <w:tc>
          <w:tcPr>
            <w:tcW w:w="1027" w:type="dxa"/>
            <w:tcBorders>
              <w:top w:val="nil"/>
              <w:left w:val="nil"/>
              <w:bottom w:val="single" w:sz="4" w:space="0" w:color="auto"/>
              <w:right w:val="single" w:sz="4" w:space="0" w:color="auto"/>
            </w:tcBorders>
            <w:shd w:val="clear" w:color="auto" w:fill="auto"/>
            <w:noWrap/>
            <w:vAlign w:val="center"/>
            <w:hideMark/>
          </w:tcPr>
          <w:p w14:paraId="3E3F25FC"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5.941</w:t>
            </w:r>
          </w:p>
        </w:tc>
        <w:tc>
          <w:tcPr>
            <w:tcW w:w="1027" w:type="dxa"/>
            <w:tcBorders>
              <w:top w:val="nil"/>
              <w:left w:val="nil"/>
              <w:bottom w:val="single" w:sz="4" w:space="0" w:color="auto"/>
              <w:right w:val="single" w:sz="4" w:space="0" w:color="auto"/>
            </w:tcBorders>
            <w:shd w:val="clear" w:color="auto" w:fill="auto"/>
            <w:noWrap/>
            <w:vAlign w:val="center"/>
            <w:hideMark/>
          </w:tcPr>
          <w:p w14:paraId="17A11488"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14:paraId="199D7309"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-4.604</w:t>
            </w:r>
          </w:p>
        </w:tc>
        <w:tc>
          <w:tcPr>
            <w:tcW w:w="687" w:type="dxa"/>
            <w:tcBorders>
              <w:top w:val="nil"/>
              <w:left w:val="nil"/>
              <w:bottom w:val="single" w:sz="4" w:space="0" w:color="auto"/>
              <w:right w:val="single" w:sz="4" w:space="0" w:color="auto"/>
            </w:tcBorders>
            <w:shd w:val="clear" w:color="auto" w:fill="auto"/>
            <w:noWrap/>
            <w:vAlign w:val="center"/>
            <w:hideMark/>
          </w:tcPr>
          <w:p w14:paraId="4852DAA3"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4.605</w:t>
            </w:r>
          </w:p>
        </w:tc>
        <w:tc>
          <w:tcPr>
            <w:tcW w:w="687" w:type="dxa"/>
            <w:tcBorders>
              <w:top w:val="nil"/>
              <w:left w:val="nil"/>
              <w:bottom w:val="single" w:sz="4" w:space="0" w:color="auto"/>
              <w:right w:val="single" w:sz="4" w:space="0" w:color="auto"/>
            </w:tcBorders>
            <w:shd w:val="clear" w:color="auto" w:fill="auto"/>
            <w:noWrap/>
            <w:vAlign w:val="center"/>
            <w:hideMark/>
          </w:tcPr>
          <w:p w14:paraId="2D9A8C29"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14:paraId="1CFFDEC8"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r>
      <w:tr w:rsidR="00D02B3A" w:rsidRPr="00D02B3A" w14:paraId="33C3956B"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20526C95"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 xml:space="preserve">Risk Management Reserve </w:t>
            </w:r>
          </w:p>
        </w:tc>
        <w:tc>
          <w:tcPr>
            <w:tcW w:w="965" w:type="dxa"/>
            <w:tcBorders>
              <w:top w:val="nil"/>
              <w:left w:val="nil"/>
              <w:bottom w:val="single" w:sz="4" w:space="0" w:color="auto"/>
              <w:right w:val="single" w:sz="4" w:space="0" w:color="auto"/>
            </w:tcBorders>
            <w:shd w:val="clear" w:color="auto" w:fill="auto"/>
            <w:noWrap/>
            <w:vAlign w:val="center"/>
            <w:hideMark/>
          </w:tcPr>
          <w:p w14:paraId="151C4C39"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-5.402</w:t>
            </w:r>
          </w:p>
        </w:tc>
        <w:tc>
          <w:tcPr>
            <w:tcW w:w="957" w:type="dxa"/>
            <w:tcBorders>
              <w:top w:val="nil"/>
              <w:left w:val="nil"/>
              <w:bottom w:val="single" w:sz="4" w:space="0" w:color="auto"/>
              <w:right w:val="single" w:sz="4" w:space="0" w:color="auto"/>
            </w:tcBorders>
            <w:shd w:val="clear" w:color="auto" w:fill="auto"/>
            <w:noWrap/>
            <w:vAlign w:val="center"/>
            <w:hideMark/>
          </w:tcPr>
          <w:p w14:paraId="79A4F41B"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3.267</w:t>
            </w:r>
          </w:p>
        </w:tc>
        <w:tc>
          <w:tcPr>
            <w:tcW w:w="1027" w:type="dxa"/>
            <w:tcBorders>
              <w:top w:val="nil"/>
              <w:left w:val="nil"/>
              <w:bottom w:val="single" w:sz="4" w:space="0" w:color="auto"/>
              <w:right w:val="single" w:sz="4" w:space="0" w:color="auto"/>
            </w:tcBorders>
            <w:shd w:val="clear" w:color="auto" w:fill="auto"/>
            <w:noWrap/>
            <w:vAlign w:val="center"/>
            <w:hideMark/>
          </w:tcPr>
          <w:p w14:paraId="4835A20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-0.688</w:t>
            </w:r>
          </w:p>
        </w:tc>
        <w:tc>
          <w:tcPr>
            <w:tcW w:w="1027" w:type="dxa"/>
            <w:tcBorders>
              <w:top w:val="nil"/>
              <w:left w:val="nil"/>
              <w:bottom w:val="single" w:sz="4" w:space="0" w:color="auto"/>
              <w:right w:val="single" w:sz="4" w:space="0" w:color="auto"/>
            </w:tcBorders>
            <w:shd w:val="clear" w:color="auto" w:fill="auto"/>
            <w:noWrap/>
            <w:vAlign w:val="center"/>
            <w:hideMark/>
          </w:tcPr>
          <w:p w14:paraId="4C94ACF2"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14:paraId="7EBB9CAC"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-2.823</w:t>
            </w:r>
          </w:p>
        </w:tc>
        <w:tc>
          <w:tcPr>
            <w:tcW w:w="687" w:type="dxa"/>
            <w:tcBorders>
              <w:top w:val="nil"/>
              <w:left w:val="nil"/>
              <w:bottom w:val="single" w:sz="4" w:space="0" w:color="auto"/>
              <w:right w:val="single" w:sz="4" w:space="0" w:color="auto"/>
            </w:tcBorders>
            <w:shd w:val="clear" w:color="auto" w:fill="auto"/>
            <w:noWrap/>
            <w:vAlign w:val="center"/>
            <w:hideMark/>
          </w:tcPr>
          <w:p w14:paraId="7E766DBD"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1.224</w:t>
            </w:r>
          </w:p>
        </w:tc>
        <w:tc>
          <w:tcPr>
            <w:tcW w:w="687" w:type="dxa"/>
            <w:tcBorders>
              <w:top w:val="nil"/>
              <w:left w:val="nil"/>
              <w:bottom w:val="single" w:sz="4" w:space="0" w:color="auto"/>
              <w:right w:val="single" w:sz="4" w:space="0" w:color="auto"/>
            </w:tcBorders>
            <w:shd w:val="clear" w:color="auto" w:fill="auto"/>
            <w:noWrap/>
            <w:vAlign w:val="center"/>
            <w:hideMark/>
          </w:tcPr>
          <w:p w14:paraId="205CE439"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0.800</w:t>
            </w:r>
          </w:p>
        </w:tc>
        <w:tc>
          <w:tcPr>
            <w:tcW w:w="871" w:type="dxa"/>
            <w:tcBorders>
              <w:top w:val="nil"/>
              <w:left w:val="nil"/>
              <w:bottom w:val="single" w:sz="4" w:space="0" w:color="auto"/>
              <w:right w:val="single" w:sz="8" w:space="0" w:color="auto"/>
            </w:tcBorders>
            <w:shd w:val="clear" w:color="000000" w:fill="BFBFBF"/>
            <w:noWrap/>
            <w:vAlign w:val="center"/>
            <w:hideMark/>
          </w:tcPr>
          <w:p w14:paraId="26AC1C3A"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-0.800</w:t>
            </w:r>
          </w:p>
        </w:tc>
      </w:tr>
      <w:tr w:rsidR="00D02B3A" w:rsidRPr="00D02B3A" w14:paraId="17FEE5C1"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7147F41F"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Transitional Reserve</w:t>
            </w:r>
          </w:p>
        </w:tc>
        <w:tc>
          <w:tcPr>
            <w:tcW w:w="965" w:type="dxa"/>
            <w:tcBorders>
              <w:top w:val="nil"/>
              <w:left w:val="nil"/>
              <w:bottom w:val="single" w:sz="4" w:space="0" w:color="auto"/>
              <w:right w:val="single" w:sz="4" w:space="0" w:color="auto"/>
            </w:tcBorders>
            <w:shd w:val="clear" w:color="auto" w:fill="auto"/>
            <w:noWrap/>
            <w:vAlign w:val="center"/>
            <w:hideMark/>
          </w:tcPr>
          <w:p w14:paraId="706D49B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-155.066</w:t>
            </w:r>
          </w:p>
        </w:tc>
        <w:tc>
          <w:tcPr>
            <w:tcW w:w="957" w:type="dxa"/>
            <w:tcBorders>
              <w:top w:val="nil"/>
              <w:left w:val="nil"/>
              <w:bottom w:val="single" w:sz="4" w:space="0" w:color="auto"/>
              <w:right w:val="single" w:sz="4" w:space="0" w:color="auto"/>
            </w:tcBorders>
            <w:shd w:val="clear" w:color="auto" w:fill="auto"/>
            <w:noWrap/>
            <w:vAlign w:val="center"/>
            <w:hideMark/>
          </w:tcPr>
          <w:p w14:paraId="2BB0CBAA"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41.555</w:t>
            </w:r>
          </w:p>
        </w:tc>
        <w:tc>
          <w:tcPr>
            <w:tcW w:w="1027" w:type="dxa"/>
            <w:tcBorders>
              <w:top w:val="nil"/>
              <w:left w:val="nil"/>
              <w:bottom w:val="single" w:sz="4" w:space="0" w:color="auto"/>
              <w:right w:val="single" w:sz="4" w:space="0" w:color="auto"/>
            </w:tcBorders>
            <w:shd w:val="clear" w:color="auto" w:fill="auto"/>
            <w:noWrap/>
            <w:vAlign w:val="center"/>
            <w:hideMark/>
          </w:tcPr>
          <w:p w14:paraId="388213CC"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-14.735</w:t>
            </w:r>
          </w:p>
        </w:tc>
        <w:tc>
          <w:tcPr>
            <w:tcW w:w="1027" w:type="dxa"/>
            <w:tcBorders>
              <w:top w:val="nil"/>
              <w:left w:val="nil"/>
              <w:bottom w:val="single" w:sz="4" w:space="0" w:color="auto"/>
              <w:right w:val="single" w:sz="4" w:space="0" w:color="auto"/>
            </w:tcBorders>
            <w:shd w:val="clear" w:color="auto" w:fill="auto"/>
            <w:noWrap/>
            <w:vAlign w:val="center"/>
            <w:hideMark/>
          </w:tcPr>
          <w:p w14:paraId="713E472F"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-11.025</w:t>
            </w:r>
          </w:p>
        </w:tc>
        <w:tc>
          <w:tcPr>
            <w:tcW w:w="687" w:type="dxa"/>
            <w:tcBorders>
              <w:top w:val="nil"/>
              <w:left w:val="nil"/>
              <w:bottom w:val="single" w:sz="4" w:space="0" w:color="auto"/>
              <w:right w:val="single" w:sz="4" w:space="0" w:color="auto"/>
            </w:tcBorders>
            <w:shd w:val="clear" w:color="000000" w:fill="BFBFBF"/>
            <w:noWrap/>
            <w:vAlign w:val="center"/>
            <w:hideMark/>
          </w:tcPr>
          <w:p w14:paraId="7D3DBA4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-139.271</w:t>
            </w:r>
          </w:p>
        </w:tc>
        <w:tc>
          <w:tcPr>
            <w:tcW w:w="687" w:type="dxa"/>
            <w:tcBorders>
              <w:top w:val="nil"/>
              <w:left w:val="nil"/>
              <w:bottom w:val="single" w:sz="4" w:space="0" w:color="auto"/>
              <w:right w:val="single" w:sz="4" w:space="0" w:color="auto"/>
            </w:tcBorders>
            <w:shd w:val="clear" w:color="auto" w:fill="auto"/>
            <w:noWrap/>
            <w:vAlign w:val="center"/>
            <w:hideMark/>
          </w:tcPr>
          <w:p w14:paraId="441F23E8"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0.437</w:t>
            </w:r>
          </w:p>
        </w:tc>
        <w:tc>
          <w:tcPr>
            <w:tcW w:w="687" w:type="dxa"/>
            <w:tcBorders>
              <w:top w:val="nil"/>
              <w:left w:val="nil"/>
              <w:bottom w:val="single" w:sz="4" w:space="0" w:color="auto"/>
              <w:right w:val="single" w:sz="4" w:space="0" w:color="auto"/>
            </w:tcBorders>
            <w:shd w:val="clear" w:color="auto" w:fill="auto"/>
            <w:noWrap/>
            <w:vAlign w:val="center"/>
            <w:hideMark/>
          </w:tcPr>
          <w:p w14:paraId="79B16274"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0.194</w:t>
            </w:r>
          </w:p>
        </w:tc>
        <w:tc>
          <w:tcPr>
            <w:tcW w:w="871" w:type="dxa"/>
            <w:tcBorders>
              <w:top w:val="nil"/>
              <w:left w:val="nil"/>
              <w:bottom w:val="single" w:sz="4" w:space="0" w:color="auto"/>
              <w:right w:val="single" w:sz="8" w:space="0" w:color="auto"/>
            </w:tcBorders>
            <w:shd w:val="clear" w:color="000000" w:fill="BFBFBF"/>
            <w:noWrap/>
            <w:vAlign w:val="center"/>
            <w:hideMark/>
          </w:tcPr>
          <w:p w14:paraId="251B00EA"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-138.640</w:t>
            </w:r>
          </w:p>
        </w:tc>
      </w:tr>
      <w:tr w:rsidR="00D02B3A" w:rsidRPr="00D02B3A" w14:paraId="5351F46C"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28C0E14D"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 xml:space="preserve">Service Reserves </w:t>
            </w:r>
          </w:p>
        </w:tc>
        <w:tc>
          <w:tcPr>
            <w:tcW w:w="965" w:type="dxa"/>
            <w:tcBorders>
              <w:top w:val="nil"/>
              <w:left w:val="nil"/>
              <w:bottom w:val="single" w:sz="4" w:space="0" w:color="auto"/>
              <w:right w:val="single" w:sz="4" w:space="0" w:color="auto"/>
            </w:tcBorders>
            <w:shd w:val="clear" w:color="auto" w:fill="auto"/>
            <w:noWrap/>
            <w:vAlign w:val="center"/>
            <w:hideMark/>
          </w:tcPr>
          <w:p w14:paraId="0A9005B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-19.118</w:t>
            </w:r>
          </w:p>
        </w:tc>
        <w:tc>
          <w:tcPr>
            <w:tcW w:w="957" w:type="dxa"/>
            <w:tcBorders>
              <w:top w:val="nil"/>
              <w:left w:val="nil"/>
              <w:bottom w:val="single" w:sz="4" w:space="0" w:color="auto"/>
              <w:right w:val="single" w:sz="4" w:space="0" w:color="auto"/>
            </w:tcBorders>
            <w:shd w:val="clear" w:color="auto" w:fill="auto"/>
            <w:noWrap/>
            <w:vAlign w:val="center"/>
            <w:hideMark/>
          </w:tcPr>
          <w:p w14:paraId="52370C0D"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6.563</w:t>
            </w:r>
          </w:p>
        </w:tc>
        <w:tc>
          <w:tcPr>
            <w:tcW w:w="1027" w:type="dxa"/>
            <w:tcBorders>
              <w:top w:val="nil"/>
              <w:left w:val="nil"/>
              <w:bottom w:val="single" w:sz="4" w:space="0" w:color="auto"/>
              <w:right w:val="single" w:sz="4" w:space="0" w:color="auto"/>
            </w:tcBorders>
            <w:shd w:val="clear" w:color="auto" w:fill="auto"/>
            <w:noWrap/>
            <w:vAlign w:val="center"/>
            <w:hideMark/>
          </w:tcPr>
          <w:p w14:paraId="24D623C5"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7.804</w:t>
            </w:r>
          </w:p>
        </w:tc>
        <w:tc>
          <w:tcPr>
            <w:tcW w:w="1027" w:type="dxa"/>
            <w:tcBorders>
              <w:top w:val="nil"/>
              <w:left w:val="nil"/>
              <w:bottom w:val="single" w:sz="4" w:space="0" w:color="auto"/>
              <w:right w:val="single" w:sz="4" w:space="0" w:color="auto"/>
            </w:tcBorders>
            <w:shd w:val="clear" w:color="auto" w:fill="auto"/>
            <w:noWrap/>
            <w:vAlign w:val="center"/>
            <w:hideMark/>
          </w:tcPr>
          <w:p w14:paraId="4626F643"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14:paraId="5FC23CEF"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-4.752</w:t>
            </w:r>
          </w:p>
        </w:tc>
        <w:tc>
          <w:tcPr>
            <w:tcW w:w="687" w:type="dxa"/>
            <w:tcBorders>
              <w:top w:val="nil"/>
              <w:left w:val="nil"/>
              <w:bottom w:val="single" w:sz="4" w:space="0" w:color="auto"/>
              <w:right w:val="single" w:sz="4" w:space="0" w:color="auto"/>
            </w:tcBorders>
            <w:shd w:val="clear" w:color="auto" w:fill="auto"/>
            <w:noWrap/>
            <w:vAlign w:val="center"/>
            <w:hideMark/>
          </w:tcPr>
          <w:p w14:paraId="39A8797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3.057</w:t>
            </w:r>
          </w:p>
        </w:tc>
        <w:tc>
          <w:tcPr>
            <w:tcW w:w="687" w:type="dxa"/>
            <w:tcBorders>
              <w:top w:val="nil"/>
              <w:left w:val="nil"/>
              <w:bottom w:val="single" w:sz="4" w:space="0" w:color="auto"/>
              <w:right w:val="single" w:sz="4" w:space="0" w:color="auto"/>
            </w:tcBorders>
            <w:shd w:val="clear" w:color="auto" w:fill="auto"/>
            <w:noWrap/>
            <w:vAlign w:val="center"/>
            <w:hideMark/>
          </w:tcPr>
          <w:p w14:paraId="0F4784A6"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0.762</w:t>
            </w:r>
          </w:p>
        </w:tc>
        <w:tc>
          <w:tcPr>
            <w:tcW w:w="871" w:type="dxa"/>
            <w:tcBorders>
              <w:top w:val="nil"/>
              <w:left w:val="nil"/>
              <w:bottom w:val="single" w:sz="4" w:space="0" w:color="auto"/>
              <w:right w:val="single" w:sz="8" w:space="0" w:color="auto"/>
            </w:tcBorders>
            <w:shd w:val="clear" w:color="000000" w:fill="BFBFBF"/>
            <w:noWrap/>
            <w:vAlign w:val="center"/>
            <w:hideMark/>
          </w:tcPr>
          <w:p w14:paraId="45B8884E"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-0.932</w:t>
            </w:r>
          </w:p>
        </w:tc>
      </w:tr>
      <w:tr w:rsidR="00D02B3A" w:rsidRPr="00D02B3A" w14:paraId="3C699869" w14:textId="77777777" w:rsidTr="00D02B3A">
        <w:trPr>
          <w:trHeight w:val="606"/>
        </w:trPr>
        <w:tc>
          <w:tcPr>
            <w:tcW w:w="2834" w:type="dxa"/>
            <w:tcBorders>
              <w:top w:val="nil"/>
              <w:left w:val="single" w:sz="8" w:space="0" w:color="auto"/>
              <w:bottom w:val="nil"/>
              <w:right w:val="single" w:sz="4" w:space="0" w:color="auto"/>
            </w:tcBorders>
            <w:shd w:val="clear" w:color="auto" w:fill="auto"/>
            <w:vAlign w:val="center"/>
            <w:hideMark/>
          </w:tcPr>
          <w:p w14:paraId="0A1AB625"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Treasury Management Reserve</w:t>
            </w:r>
          </w:p>
        </w:tc>
        <w:tc>
          <w:tcPr>
            <w:tcW w:w="965" w:type="dxa"/>
            <w:tcBorders>
              <w:top w:val="nil"/>
              <w:left w:val="nil"/>
              <w:bottom w:val="nil"/>
              <w:right w:val="single" w:sz="4" w:space="0" w:color="auto"/>
            </w:tcBorders>
            <w:shd w:val="clear" w:color="auto" w:fill="auto"/>
            <w:noWrap/>
            <w:vAlign w:val="center"/>
            <w:hideMark/>
          </w:tcPr>
          <w:p w14:paraId="3DCA53ED"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-10.000</w:t>
            </w:r>
          </w:p>
        </w:tc>
        <w:tc>
          <w:tcPr>
            <w:tcW w:w="957" w:type="dxa"/>
            <w:tcBorders>
              <w:top w:val="nil"/>
              <w:left w:val="nil"/>
              <w:bottom w:val="nil"/>
              <w:right w:val="single" w:sz="4" w:space="0" w:color="auto"/>
            </w:tcBorders>
            <w:shd w:val="clear" w:color="auto" w:fill="auto"/>
            <w:noWrap/>
            <w:vAlign w:val="center"/>
            <w:hideMark/>
          </w:tcPr>
          <w:p w14:paraId="1602849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14:paraId="79A45D8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14:paraId="31A40BDC"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nil"/>
              <w:right w:val="single" w:sz="4" w:space="0" w:color="auto"/>
            </w:tcBorders>
            <w:shd w:val="clear" w:color="000000" w:fill="BFBFBF"/>
            <w:noWrap/>
            <w:vAlign w:val="center"/>
            <w:hideMark/>
          </w:tcPr>
          <w:p w14:paraId="7D67C345"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-10.000</w:t>
            </w:r>
          </w:p>
        </w:tc>
        <w:tc>
          <w:tcPr>
            <w:tcW w:w="687" w:type="dxa"/>
            <w:tcBorders>
              <w:top w:val="nil"/>
              <w:left w:val="nil"/>
              <w:bottom w:val="nil"/>
              <w:right w:val="single" w:sz="4" w:space="0" w:color="auto"/>
            </w:tcBorders>
            <w:shd w:val="clear" w:color="auto" w:fill="auto"/>
            <w:noWrap/>
            <w:vAlign w:val="center"/>
            <w:hideMark/>
          </w:tcPr>
          <w:p w14:paraId="10BB31CB"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nil"/>
              <w:right w:val="single" w:sz="4" w:space="0" w:color="auto"/>
            </w:tcBorders>
            <w:shd w:val="clear" w:color="auto" w:fill="auto"/>
            <w:noWrap/>
            <w:vAlign w:val="center"/>
            <w:hideMark/>
          </w:tcPr>
          <w:p w14:paraId="7871F8CF"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14:paraId="476302A7"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-10.000</w:t>
            </w:r>
          </w:p>
        </w:tc>
      </w:tr>
      <w:tr w:rsidR="00D02B3A" w:rsidRPr="00D02B3A" w14:paraId="53BD52ED" w14:textId="77777777" w:rsidTr="00D02B3A">
        <w:trPr>
          <w:trHeight w:val="606"/>
        </w:trPr>
        <w:tc>
          <w:tcPr>
            <w:tcW w:w="2834"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3A08C285" w14:textId="77777777" w:rsidR="00D02B3A" w:rsidRPr="00D02B3A" w:rsidRDefault="00D02B3A" w:rsidP="00D02B3A">
            <w:pPr>
              <w:spacing w:after="0" w:line="240" w:lineRule="auto"/>
              <w:rPr>
                <w:rFonts w:cs="Arial"/>
                <w:b/>
                <w:bCs/>
                <w:color w:val="000000"/>
                <w:sz w:val="16"/>
                <w:szCs w:val="16"/>
                <w:lang w:eastAsia="en-GB"/>
              </w:rPr>
            </w:pPr>
            <w:r w:rsidRPr="00D02B3A">
              <w:rPr>
                <w:rFonts w:cs="Arial"/>
                <w:b/>
                <w:bCs/>
                <w:color w:val="000000"/>
                <w:sz w:val="16"/>
                <w:szCs w:val="16"/>
                <w:lang w:eastAsia="en-GB"/>
              </w:rPr>
              <w:t>SUB TOTAL - LCC RESERVES</w:t>
            </w:r>
          </w:p>
        </w:tc>
        <w:tc>
          <w:tcPr>
            <w:tcW w:w="965" w:type="dxa"/>
            <w:tcBorders>
              <w:top w:val="single" w:sz="4" w:space="0" w:color="auto"/>
              <w:left w:val="nil"/>
              <w:bottom w:val="single" w:sz="8" w:space="0" w:color="auto"/>
              <w:right w:val="single" w:sz="4" w:space="0" w:color="auto"/>
            </w:tcBorders>
            <w:shd w:val="clear" w:color="000000" w:fill="BFBFBF"/>
            <w:noWrap/>
            <w:vAlign w:val="center"/>
            <w:hideMark/>
          </w:tcPr>
          <w:p w14:paraId="7D1B4201"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-207.243</w:t>
            </w:r>
          </w:p>
        </w:tc>
        <w:tc>
          <w:tcPr>
            <w:tcW w:w="957" w:type="dxa"/>
            <w:tcBorders>
              <w:top w:val="single" w:sz="4" w:space="0" w:color="auto"/>
              <w:left w:val="nil"/>
              <w:bottom w:val="single" w:sz="8" w:space="0" w:color="auto"/>
              <w:right w:val="single" w:sz="4" w:space="0" w:color="auto"/>
            </w:tcBorders>
            <w:shd w:val="clear" w:color="000000" w:fill="BFBFBF"/>
            <w:noWrap/>
            <w:vAlign w:val="center"/>
            <w:hideMark/>
          </w:tcPr>
          <w:p w14:paraId="19C00A77"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55.471</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14:paraId="775E327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14:paraId="73C425F9"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-11.025</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14:paraId="46F1BAC4"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-162.796</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14:paraId="4296CE0A"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9.672</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14:paraId="2E6B317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2.606</w:t>
            </w:r>
          </w:p>
        </w:tc>
        <w:tc>
          <w:tcPr>
            <w:tcW w:w="871" w:type="dxa"/>
            <w:tcBorders>
              <w:top w:val="nil"/>
              <w:left w:val="nil"/>
              <w:bottom w:val="single" w:sz="8" w:space="0" w:color="auto"/>
              <w:right w:val="single" w:sz="8" w:space="0" w:color="auto"/>
            </w:tcBorders>
            <w:shd w:val="clear" w:color="000000" w:fill="BFBFBF"/>
            <w:noWrap/>
            <w:vAlign w:val="center"/>
            <w:hideMark/>
          </w:tcPr>
          <w:p w14:paraId="6156A323"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-150.518</w:t>
            </w:r>
          </w:p>
        </w:tc>
      </w:tr>
      <w:tr w:rsidR="00D02B3A" w:rsidRPr="00D02B3A" w14:paraId="0A235B6F" w14:textId="77777777" w:rsidTr="00D02B3A">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14:paraId="21232671" w14:textId="77777777" w:rsidR="00D02B3A" w:rsidRPr="00D02B3A" w:rsidRDefault="00D02B3A" w:rsidP="00D02B3A">
            <w:pPr>
              <w:spacing w:after="0" w:line="240" w:lineRule="auto"/>
              <w:rPr>
                <w:rFonts w:cs="Arial"/>
                <w:color w:val="000000"/>
                <w:sz w:val="16"/>
                <w:szCs w:val="16"/>
                <w:lang w:eastAsia="en-GB"/>
              </w:rPr>
            </w:pPr>
            <w:r w:rsidRPr="00D02B3A">
              <w:rPr>
                <w:rFonts w:cs="Arial"/>
                <w:color w:val="000000"/>
                <w:sz w:val="16"/>
                <w:szCs w:val="16"/>
                <w:lang w:eastAsia="en-GB"/>
              </w:rPr>
              <w:t>Schools/Non-LCC Service Reserves</w:t>
            </w:r>
          </w:p>
        </w:tc>
        <w:tc>
          <w:tcPr>
            <w:tcW w:w="965" w:type="dxa"/>
            <w:tcBorders>
              <w:top w:val="nil"/>
              <w:left w:val="nil"/>
              <w:bottom w:val="nil"/>
              <w:right w:val="single" w:sz="4" w:space="0" w:color="auto"/>
            </w:tcBorders>
            <w:shd w:val="clear" w:color="auto" w:fill="auto"/>
            <w:noWrap/>
            <w:vAlign w:val="center"/>
            <w:hideMark/>
          </w:tcPr>
          <w:p w14:paraId="5C867672"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-16.521</w:t>
            </w:r>
          </w:p>
        </w:tc>
        <w:tc>
          <w:tcPr>
            <w:tcW w:w="957" w:type="dxa"/>
            <w:tcBorders>
              <w:top w:val="nil"/>
              <w:left w:val="nil"/>
              <w:bottom w:val="nil"/>
              <w:right w:val="single" w:sz="4" w:space="0" w:color="auto"/>
            </w:tcBorders>
            <w:shd w:val="clear" w:color="auto" w:fill="auto"/>
            <w:noWrap/>
            <w:vAlign w:val="center"/>
            <w:hideMark/>
          </w:tcPr>
          <w:p w14:paraId="2D7AD28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1.647</w:t>
            </w:r>
          </w:p>
        </w:tc>
        <w:tc>
          <w:tcPr>
            <w:tcW w:w="1027" w:type="dxa"/>
            <w:tcBorders>
              <w:top w:val="nil"/>
              <w:left w:val="nil"/>
              <w:bottom w:val="nil"/>
              <w:right w:val="single" w:sz="4" w:space="0" w:color="auto"/>
            </w:tcBorders>
            <w:shd w:val="clear" w:color="auto" w:fill="auto"/>
            <w:noWrap/>
            <w:vAlign w:val="center"/>
            <w:hideMark/>
          </w:tcPr>
          <w:p w14:paraId="5BEA3F3B"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14:paraId="4488A64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14:paraId="495EF410"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-14.874</w:t>
            </w:r>
          </w:p>
        </w:tc>
        <w:tc>
          <w:tcPr>
            <w:tcW w:w="687" w:type="dxa"/>
            <w:tcBorders>
              <w:top w:val="nil"/>
              <w:left w:val="nil"/>
              <w:bottom w:val="nil"/>
              <w:right w:val="single" w:sz="4" w:space="0" w:color="auto"/>
            </w:tcBorders>
            <w:shd w:val="clear" w:color="auto" w:fill="auto"/>
            <w:noWrap/>
            <w:vAlign w:val="center"/>
            <w:hideMark/>
          </w:tcPr>
          <w:p w14:paraId="5AC5EB98"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-0.823</w:t>
            </w:r>
          </w:p>
        </w:tc>
        <w:tc>
          <w:tcPr>
            <w:tcW w:w="687" w:type="dxa"/>
            <w:tcBorders>
              <w:top w:val="nil"/>
              <w:left w:val="nil"/>
              <w:bottom w:val="nil"/>
              <w:right w:val="single" w:sz="4" w:space="0" w:color="auto"/>
            </w:tcBorders>
            <w:shd w:val="clear" w:color="auto" w:fill="auto"/>
            <w:noWrap/>
            <w:vAlign w:val="center"/>
            <w:hideMark/>
          </w:tcPr>
          <w:p w14:paraId="75EC01A1"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-0.823</w:t>
            </w:r>
          </w:p>
        </w:tc>
        <w:tc>
          <w:tcPr>
            <w:tcW w:w="871" w:type="dxa"/>
            <w:tcBorders>
              <w:top w:val="nil"/>
              <w:left w:val="nil"/>
              <w:bottom w:val="single" w:sz="4" w:space="0" w:color="auto"/>
              <w:right w:val="single" w:sz="8" w:space="0" w:color="auto"/>
            </w:tcBorders>
            <w:shd w:val="clear" w:color="000000" w:fill="BFBFBF"/>
            <w:noWrap/>
            <w:vAlign w:val="center"/>
            <w:hideMark/>
          </w:tcPr>
          <w:p w14:paraId="7A076E67"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-16.520</w:t>
            </w:r>
          </w:p>
        </w:tc>
      </w:tr>
      <w:tr w:rsidR="00D02B3A" w:rsidRPr="00D02B3A" w14:paraId="6E9A69B0" w14:textId="77777777" w:rsidTr="00D02B3A">
        <w:trPr>
          <w:trHeight w:val="399"/>
        </w:trPr>
        <w:tc>
          <w:tcPr>
            <w:tcW w:w="2834" w:type="dxa"/>
            <w:tcBorders>
              <w:top w:val="nil"/>
              <w:left w:val="single" w:sz="8" w:space="0" w:color="auto"/>
              <w:bottom w:val="single" w:sz="8" w:space="0" w:color="auto"/>
              <w:right w:val="single" w:sz="4" w:space="0" w:color="auto"/>
            </w:tcBorders>
            <w:shd w:val="clear" w:color="000000" w:fill="BFBFBF"/>
            <w:vAlign w:val="center"/>
            <w:hideMark/>
          </w:tcPr>
          <w:p w14:paraId="0977681A" w14:textId="77777777" w:rsidR="00D02B3A" w:rsidRPr="00D02B3A" w:rsidRDefault="00D02B3A" w:rsidP="00D02B3A">
            <w:pPr>
              <w:spacing w:after="0" w:line="240" w:lineRule="auto"/>
              <w:rPr>
                <w:rFonts w:cs="Arial"/>
                <w:b/>
                <w:bCs/>
                <w:color w:val="000000"/>
                <w:sz w:val="16"/>
                <w:szCs w:val="16"/>
                <w:lang w:eastAsia="en-GB"/>
              </w:rPr>
            </w:pPr>
            <w:r w:rsidRPr="00D02B3A">
              <w:rPr>
                <w:rFonts w:cs="Arial"/>
                <w:b/>
                <w:bCs/>
                <w:color w:val="000000"/>
                <w:sz w:val="16"/>
                <w:szCs w:val="16"/>
                <w:lang w:eastAsia="en-GB"/>
              </w:rPr>
              <w:t>SUB TOTAL SCHOOLS/NON LCC RESERVES</w:t>
            </w:r>
          </w:p>
        </w:tc>
        <w:tc>
          <w:tcPr>
            <w:tcW w:w="965" w:type="dxa"/>
            <w:tcBorders>
              <w:top w:val="single" w:sz="4" w:space="0" w:color="auto"/>
              <w:left w:val="nil"/>
              <w:bottom w:val="single" w:sz="8" w:space="0" w:color="auto"/>
              <w:right w:val="single" w:sz="4" w:space="0" w:color="auto"/>
            </w:tcBorders>
            <w:shd w:val="clear" w:color="000000" w:fill="BFBFBF"/>
            <w:noWrap/>
            <w:vAlign w:val="center"/>
            <w:hideMark/>
          </w:tcPr>
          <w:p w14:paraId="44E15874"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-16.521</w:t>
            </w:r>
          </w:p>
        </w:tc>
        <w:tc>
          <w:tcPr>
            <w:tcW w:w="957" w:type="dxa"/>
            <w:tcBorders>
              <w:top w:val="single" w:sz="4" w:space="0" w:color="auto"/>
              <w:left w:val="nil"/>
              <w:bottom w:val="single" w:sz="8" w:space="0" w:color="auto"/>
              <w:right w:val="single" w:sz="4" w:space="0" w:color="auto"/>
            </w:tcBorders>
            <w:shd w:val="clear" w:color="000000" w:fill="BFBFBF"/>
            <w:noWrap/>
            <w:vAlign w:val="center"/>
            <w:hideMark/>
          </w:tcPr>
          <w:p w14:paraId="140B3E06"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1.647</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14:paraId="0E572487"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14:paraId="4021194C"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14:paraId="50D452AC"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-14.874</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14:paraId="7C74770F"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-0.823</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14:paraId="1B086DD7"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-0.823</w:t>
            </w:r>
          </w:p>
        </w:tc>
        <w:tc>
          <w:tcPr>
            <w:tcW w:w="871" w:type="dxa"/>
            <w:tcBorders>
              <w:top w:val="nil"/>
              <w:left w:val="nil"/>
              <w:bottom w:val="single" w:sz="8" w:space="0" w:color="auto"/>
              <w:right w:val="single" w:sz="8" w:space="0" w:color="auto"/>
            </w:tcBorders>
            <w:shd w:val="clear" w:color="000000" w:fill="BFBFBF"/>
            <w:noWrap/>
            <w:vAlign w:val="center"/>
            <w:hideMark/>
          </w:tcPr>
          <w:p w14:paraId="2D6AA075"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-16.520</w:t>
            </w:r>
          </w:p>
        </w:tc>
      </w:tr>
      <w:tr w:rsidR="00D02B3A" w:rsidRPr="00D02B3A" w14:paraId="675BCBDB" w14:textId="77777777" w:rsidTr="00D02B3A">
        <w:trPr>
          <w:trHeight w:val="285"/>
        </w:trPr>
        <w:tc>
          <w:tcPr>
            <w:tcW w:w="2834" w:type="dxa"/>
            <w:tcBorders>
              <w:top w:val="single" w:sz="4" w:space="0" w:color="auto"/>
              <w:left w:val="single" w:sz="8" w:space="0" w:color="auto"/>
              <w:bottom w:val="nil"/>
              <w:right w:val="single" w:sz="4" w:space="0" w:color="auto"/>
            </w:tcBorders>
            <w:shd w:val="clear" w:color="auto" w:fill="auto"/>
            <w:vAlign w:val="center"/>
            <w:hideMark/>
          </w:tcPr>
          <w:p w14:paraId="34D58631" w14:textId="77777777" w:rsidR="00D02B3A" w:rsidRPr="00D02B3A" w:rsidRDefault="00D02B3A" w:rsidP="00D02B3A">
            <w:pPr>
              <w:spacing w:after="0" w:line="240" w:lineRule="auto"/>
              <w:rPr>
                <w:rFonts w:cs="Arial"/>
                <w:i/>
                <w:iCs/>
                <w:color w:val="000000"/>
                <w:sz w:val="16"/>
                <w:szCs w:val="16"/>
                <w:lang w:eastAsia="en-GB"/>
              </w:rPr>
            </w:pPr>
            <w:r w:rsidRPr="00D02B3A">
              <w:rPr>
                <w:rFonts w:cs="Arial"/>
                <w:i/>
                <w:iCs/>
                <w:color w:val="000000"/>
                <w:sz w:val="16"/>
                <w:szCs w:val="16"/>
                <w:lang w:eastAsia="en-GB"/>
              </w:rPr>
              <w:t> </w:t>
            </w:r>
          </w:p>
        </w:tc>
        <w:tc>
          <w:tcPr>
            <w:tcW w:w="965" w:type="dxa"/>
            <w:tcBorders>
              <w:top w:val="single" w:sz="4" w:space="0" w:color="auto"/>
              <w:left w:val="nil"/>
              <w:bottom w:val="nil"/>
              <w:right w:val="single" w:sz="4" w:space="0" w:color="auto"/>
            </w:tcBorders>
            <w:shd w:val="clear" w:color="auto" w:fill="auto"/>
            <w:noWrap/>
            <w:vAlign w:val="center"/>
            <w:hideMark/>
          </w:tcPr>
          <w:p w14:paraId="7E89C603"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 </w:t>
            </w:r>
          </w:p>
        </w:tc>
        <w:tc>
          <w:tcPr>
            <w:tcW w:w="957" w:type="dxa"/>
            <w:tcBorders>
              <w:top w:val="single" w:sz="4" w:space="0" w:color="auto"/>
              <w:left w:val="nil"/>
              <w:bottom w:val="nil"/>
              <w:right w:val="single" w:sz="4" w:space="0" w:color="auto"/>
            </w:tcBorders>
            <w:shd w:val="clear" w:color="auto" w:fill="auto"/>
            <w:noWrap/>
            <w:vAlign w:val="center"/>
            <w:hideMark/>
          </w:tcPr>
          <w:p w14:paraId="067E547C"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 </w:t>
            </w:r>
          </w:p>
        </w:tc>
        <w:tc>
          <w:tcPr>
            <w:tcW w:w="1027" w:type="dxa"/>
            <w:tcBorders>
              <w:top w:val="single" w:sz="4" w:space="0" w:color="auto"/>
              <w:left w:val="nil"/>
              <w:bottom w:val="nil"/>
              <w:right w:val="single" w:sz="4" w:space="0" w:color="auto"/>
            </w:tcBorders>
            <w:shd w:val="clear" w:color="auto" w:fill="auto"/>
            <w:noWrap/>
            <w:vAlign w:val="center"/>
            <w:hideMark/>
          </w:tcPr>
          <w:p w14:paraId="377BC209"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 </w:t>
            </w:r>
          </w:p>
        </w:tc>
        <w:tc>
          <w:tcPr>
            <w:tcW w:w="1027" w:type="dxa"/>
            <w:tcBorders>
              <w:top w:val="single" w:sz="4" w:space="0" w:color="auto"/>
              <w:left w:val="nil"/>
              <w:bottom w:val="nil"/>
              <w:right w:val="single" w:sz="4" w:space="0" w:color="auto"/>
            </w:tcBorders>
            <w:shd w:val="clear" w:color="auto" w:fill="auto"/>
            <w:noWrap/>
            <w:vAlign w:val="center"/>
            <w:hideMark/>
          </w:tcPr>
          <w:p w14:paraId="21CF9476"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14:paraId="337F2765" w14:textId="77777777" w:rsidR="00D02B3A" w:rsidRPr="00D02B3A" w:rsidRDefault="00D02B3A" w:rsidP="00D02B3A">
            <w:pPr>
              <w:spacing w:after="0" w:line="240" w:lineRule="auto"/>
              <w:jc w:val="center"/>
              <w:rPr>
                <w:rFonts w:cs="Arial"/>
                <w:color w:val="000000"/>
                <w:sz w:val="16"/>
                <w:szCs w:val="16"/>
                <w:lang w:eastAsia="en-GB"/>
              </w:rPr>
            </w:pPr>
            <w:r w:rsidRPr="00D02B3A">
              <w:rPr>
                <w:rFonts w:cs="Arial"/>
                <w:color w:val="000000"/>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14:paraId="30170DD5" w14:textId="77777777" w:rsidR="00D02B3A" w:rsidRPr="00D02B3A" w:rsidRDefault="00D02B3A" w:rsidP="00D02B3A">
            <w:pPr>
              <w:spacing w:after="0" w:line="240" w:lineRule="auto"/>
              <w:jc w:val="center"/>
              <w:rPr>
                <w:rFonts w:cs="Arial"/>
                <w:i/>
                <w:iCs/>
                <w:color w:val="000000"/>
                <w:sz w:val="16"/>
                <w:szCs w:val="16"/>
                <w:lang w:eastAsia="en-GB"/>
              </w:rPr>
            </w:pPr>
            <w:r w:rsidRPr="00D02B3A">
              <w:rPr>
                <w:rFonts w:cs="Arial"/>
                <w:i/>
                <w:iCs/>
                <w:color w:val="000000"/>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14:paraId="7F7A6A6F" w14:textId="77777777" w:rsidR="00D02B3A" w:rsidRPr="00D02B3A" w:rsidRDefault="00D02B3A" w:rsidP="00D02B3A">
            <w:pPr>
              <w:spacing w:after="0" w:line="240" w:lineRule="auto"/>
              <w:jc w:val="center"/>
              <w:rPr>
                <w:rFonts w:cs="Arial"/>
                <w:i/>
                <w:iCs/>
                <w:color w:val="000000"/>
                <w:sz w:val="16"/>
                <w:szCs w:val="16"/>
                <w:lang w:eastAsia="en-GB"/>
              </w:rPr>
            </w:pPr>
            <w:r w:rsidRPr="00D02B3A">
              <w:rPr>
                <w:rFonts w:cs="Arial"/>
                <w:i/>
                <w:iCs/>
                <w:color w:val="000000"/>
                <w:sz w:val="16"/>
                <w:szCs w:val="16"/>
                <w:lang w:eastAsia="en-GB"/>
              </w:rPr>
              <w:t> </w:t>
            </w:r>
          </w:p>
        </w:tc>
        <w:tc>
          <w:tcPr>
            <w:tcW w:w="871" w:type="dxa"/>
            <w:tcBorders>
              <w:top w:val="nil"/>
              <w:left w:val="nil"/>
              <w:bottom w:val="nil"/>
              <w:right w:val="single" w:sz="8" w:space="0" w:color="auto"/>
            </w:tcBorders>
            <w:shd w:val="clear" w:color="auto" w:fill="auto"/>
            <w:noWrap/>
            <w:vAlign w:val="center"/>
            <w:hideMark/>
          </w:tcPr>
          <w:p w14:paraId="16521E29" w14:textId="77777777" w:rsidR="00D02B3A" w:rsidRPr="00D02B3A" w:rsidRDefault="00D02B3A" w:rsidP="00D02B3A">
            <w:pPr>
              <w:spacing w:after="0" w:line="240" w:lineRule="auto"/>
              <w:jc w:val="center"/>
              <w:rPr>
                <w:rFonts w:cs="Arial"/>
                <w:i/>
                <w:iCs/>
                <w:color w:val="000000"/>
                <w:sz w:val="16"/>
                <w:szCs w:val="16"/>
                <w:lang w:eastAsia="en-GB"/>
              </w:rPr>
            </w:pPr>
            <w:r w:rsidRPr="00D02B3A">
              <w:rPr>
                <w:rFonts w:cs="Arial"/>
                <w:i/>
                <w:iCs/>
                <w:color w:val="000000"/>
                <w:sz w:val="16"/>
                <w:szCs w:val="16"/>
                <w:lang w:eastAsia="en-GB"/>
              </w:rPr>
              <w:t> </w:t>
            </w:r>
          </w:p>
        </w:tc>
      </w:tr>
      <w:tr w:rsidR="00D02B3A" w:rsidRPr="00D02B3A" w14:paraId="4249A46D" w14:textId="77777777" w:rsidTr="00D02B3A">
        <w:trPr>
          <w:trHeight w:val="399"/>
        </w:trPr>
        <w:tc>
          <w:tcPr>
            <w:tcW w:w="2834"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7A87CE8" w14:textId="77777777" w:rsidR="00D02B3A" w:rsidRPr="00D02B3A" w:rsidRDefault="00D02B3A" w:rsidP="00D02B3A">
            <w:pPr>
              <w:spacing w:after="0" w:line="240" w:lineRule="auto"/>
              <w:rPr>
                <w:rFonts w:cs="Arial"/>
                <w:b/>
                <w:bCs/>
                <w:color w:val="000000"/>
                <w:sz w:val="16"/>
                <w:szCs w:val="16"/>
                <w:lang w:eastAsia="en-GB"/>
              </w:rPr>
            </w:pPr>
            <w:r w:rsidRPr="00D02B3A">
              <w:rPr>
                <w:rFonts w:cs="Arial"/>
                <w:b/>
                <w:bCs/>
                <w:color w:val="000000"/>
                <w:sz w:val="16"/>
                <w:szCs w:val="16"/>
                <w:lang w:eastAsia="en-GB"/>
              </w:rPr>
              <w:t>GRAND TOTAL</w:t>
            </w:r>
          </w:p>
        </w:tc>
        <w:tc>
          <w:tcPr>
            <w:tcW w:w="965" w:type="dxa"/>
            <w:tcBorders>
              <w:top w:val="single" w:sz="8" w:space="0" w:color="auto"/>
              <w:left w:val="nil"/>
              <w:bottom w:val="single" w:sz="8" w:space="0" w:color="auto"/>
              <w:right w:val="single" w:sz="4" w:space="0" w:color="auto"/>
            </w:tcBorders>
            <w:shd w:val="clear" w:color="000000" w:fill="BFBFBF"/>
            <w:noWrap/>
            <w:vAlign w:val="center"/>
            <w:hideMark/>
          </w:tcPr>
          <w:p w14:paraId="25CC9CC9"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-247.201</w:t>
            </w:r>
          </w:p>
        </w:tc>
        <w:tc>
          <w:tcPr>
            <w:tcW w:w="957" w:type="dxa"/>
            <w:tcBorders>
              <w:top w:val="single" w:sz="8" w:space="0" w:color="auto"/>
              <w:left w:val="nil"/>
              <w:bottom w:val="single" w:sz="8" w:space="0" w:color="auto"/>
              <w:right w:val="single" w:sz="4" w:space="0" w:color="auto"/>
            </w:tcBorders>
            <w:shd w:val="clear" w:color="000000" w:fill="BFBFBF"/>
            <w:noWrap/>
            <w:vAlign w:val="center"/>
            <w:hideMark/>
          </w:tcPr>
          <w:p w14:paraId="35A78FF4"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57.118</w:t>
            </w:r>
          </w:p>
        </w:tc>
        <w:tc>
          <w:tcPr>
            <w:tcW w:w="1027" w:type="dxa"/>
            <w:tcBorders>
              <w:top w:val="single" w:sz="8" w:space="0" w:color="auto"/>
              <w:left w:val="nil"/>
              <w:bottom w:val="single" w:sz="8" w:space="0" w:color="auto"/>
              <w:right w:val="single" w:sz="4" w:space="0" w:color="auto"/>
            </w:tcBorders>
            <w:shd w:val="clear" w:color="000000" w:fill="BFBFBF"/>
            <w:noWrap/>
            <w:vAlign w:val="center"/>
            <w:hideMark/>
          </w:tcPr>
          <w:p w14:paraId="784A61AC"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0.000</w:t>
            </w:r>
          </w:p>
        </w:tc>
        <w:tc>
          <w:tcPr>
            <w:tcW w:w="1027" w:type="dxa"/>
            <w:tcBorders>
              <w:top w:val="single" w:sz="8" w:space="0" w:color="auto"/>
              <w:left w:val="nil"/>
              <w:bottom w:val="single" w:sz="8" w:space="0" w:color="auto"/>
              <w:right w:val="single" w:sz="4" w:space="0" w:color="auto"/>
            </w:tcBorders>
            <w:shd w:val="clear" w:color="000000" w:fill="BFBFBF"/>
            <w:noWrap/>
            <w:vAlign w:val="center"/>
            <w:hideMark/>
          </w:tcPr>
          <w:p w14:paraId="5892021D"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-11.025</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14:paraId="7467EB79"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-201.108</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14:paraId="51C17219"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8.849</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14:paraId="05430DB7"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1.783</w:t>
            </w:r>
          </w:p>
        </w:tc>
        <w:tc>
          <w:tcPr>
            <w:tcW w:w="871" w:type="dxa"/>
            <w:tcBorders>
              <w:top w:val="single" w:sz="8" w:space="0" w:color="auto"/>
              <w:left w:val="nil"/>
              <w:bottom w:val="single" w:sz="8" w:space="0" w:color="auto"/>
              <w:right w:val="single" w:sz="8" w:space="0" w:color="auto"/>
            </w:tcBorders>
            <w:shd w:val="clear" w:color="000000" w:fill="BFBFBF"/>
            <w:noWrap/>
            <w:vAlign w:val="center"/>
            <w:hideMark/>
          </w:tcPr>
          <w:p w14:paraId="7871D6C8" w14:textId="77777777" w:rsidR="00D02B3A" w:rsidRPr="00D02B3A" w:rsidRDefault="00D02B3A" w:rsidP="00D02B3A">
            <w:pPr>
              <w:spacing w:after="0" w:line="240" w:lineRule="auto"/>
              <w:jc w:val="center"/>
              <w:rPr>
                <w:rFonts w:cs="Arial"/>
                <w:b/>
                <w:bCs/>
                <w:color w:val="000000"/>
                <w:sz w:val="16"/>
                <w:szCs w:val="16"/>
                <w:lang w:eastAsia="en-GB"/>
              </w:rPr>
            </w:pPr>
            <w:r w:rsidRPr="00D02B3A">
              <w:rPr>
                <w:rFonts w:cs="Arial"/>
                <w:b/>
                <w:bCs/>
                <w:color w:val="000000"/>
                <w:sz w:val="16"/>
                <w:szCs w:val="16"/>
                <w:lang w:eastAsia="en-GB"/>
              </w:rPr>
              <w:t>-190.475</w:t>
            </w:r>
          </w:p>
        </w:tc>
      </w:tr>
    </w:tbl>
    <w:p w14:paraId="503EA83C" w14:textId="77777777" w:rsidR="00F7294A" w:rsidRDefault="00F7294A" w:rsidP="00BC46D7">
      <w:pPr>
        <w:tabs>
          <w:tab w:val="left" w:pos="8288"/>
        </w:tabs>
        <w:spacing w:after="0"/>
        <w:jc w:val="both"/>
        <w:rPr>
          <w:rFonts w:cs="Arial"/>
          <w:b/>
          <w:szCs w:val="24"/>
          <w:highlight w:val="yellow"/>
          <w:u w:val="single"/>
        </w:rPr>
      </w:pPr>
    </w:p>
    <w:p w14:paraId="6AFE2F96" w14:textId="1E87C94F" w:rsidR="00F8395F" w:rsidRPr="00D02B3A" w:rsidRDefault="00F7294A" w:rsidP="00BC46D7">
      <w:pPr>
        <w:tabs>
          <w:tab w:val="left" w:pos="8288"/>
        </w:tabs>
        <w:spacing w:after="0"/>
        <w:jc w:val="both"/>
        <w:rPr>
          <w:rFonts w:cs="Arial"/>
          <w:b/>
          <w:szCs w:val="24"/>
          <w:u w:val="single"/>
        </w:rPr>
      </w:pPr>
      <w:r>
        <w:rPr>
          <w:rFonts w:cs="Arial"/>
          <w:b/>
          <w:szCs w:val="24"/>
          <w:u w:val="single"/>
        </w:rPr>
        <w:t>Table 8</w:t>
      </w:r>
    </w:p>
    <w:p w14:paraId="6FB1D989" w14:textId="77777777" w:rsidR="00F8395F" w:rsidRDefault="00F8395F" w:rsidP="00BC46D7">
      <w:pPr>
        <w:tabs>
          <w:tab w:val="left" w:pos="8288"/>
        </w:tabs>
        <w:spacing w:after="0"/>
        <w:jc w:val="both"/>
        <w:rPr>
          <w:rFonts w:cs="Arial"/>
          <w:szCs w:val="24"/>
          <w:highlight w:val="yellow"/>
        </w:rPr>
      </w:pPr>
    </w:p>
    <w:tbl>
      <w:tblPr>
        <w:tblW w:w="9771" w:type="dxa"/>
        <w:tblLook w:val="04A0" w:firstRow="1" w:lastRow="0" w:firstColumn="1" w:lastColumn="0" w:noHBand="0" w:noVBand="1"/>
      </w:tblPr>
      <w:tblGrid>
        <w:gridCol w:w="5093"/>
        <w:gridCol w:w="1169"/>
        <w:gridCol w:w="1170"/>
        <w:gridCol w:w="1169"/>
        <w:gridCol w:w="1170"/>
      </w:tblGrid>
      <w:tr w:rsidR="004A0538" w:rsidRPr="004A0538" w14:paraId="36471EB7" w14:textId="77777777" w:rsidTr="004A0538">
        <w:trPr>
          <w:trHeight w:val="330"/>
        </w:trPr>
        <w:tc>
          <w:tcPr>
            <w:tcW w:w="509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C44BA67" w14:textId="43BD4335" w:rsidR="004A0538" w:rsidRPr="004A0538" w:rsidRDefault="006B6243" w:rsidP="004A0538">
            <w:pPr>
              <w:spacing w:after="0" w:line="240" w:lineRule="auto"/>
              <w:rPr>
                <w:rFonts w:cs="Arial"/>
                <w:b/>
                <w:bCs/>
                <w:color w:val="000000"/>
                <w:szCs w:val="24"/>
                <w:lang w:eastAsia="en-GB"/>
              </w:rPr>
            </w:pPr>
            <w:r>
              <w:rPr>
                <w:rFonts w:cs="Arial"/>
                <w:b/>
                <w:bCs/>
                <w:color w:val="000000"/>
                <w:szCs w:val="24"/>
                <w:lang w:eastAsia="en-GB"/>
              </w:rPr>
              <w:t>Transitional Reserve</w:t>
            </w:r>
          </w:p>
        </w:tc>
        <w:tc>
          <w:tcPr>
            <w:tcW w:w="1169" w:type="dxa"/>
            <w:tcBorders>
              <w:top w:val="single" w:sz="8" w:space="0" w:color="auto"/>
              <w:left w:val="nil"/>
              <w:bottom w:val="single" w:sz="8" w:space="0" w:color="auto"/>
              <w:right w:val="single" w:sz="8" w:space="0" w:color="auto"/>
            </w:tcBorders>
            <w:shd w:val="clear" w:color="000000" w:fill="BFBFBF"/>
            <w:vAlign w:val="center"/>
            <w:hideMark/>
          </w:tcPr>
          <w:p w14:paraId="53AFDC15" w14:textId="77777777" w:rsidR="004A0538" w:rsidRPr="004A0538" w:rsidRDefault="004A0538" w:rsidP="004A0538">
            <w:pPr>
              <w:spacing w:after="0" w:line="240" w:lineRule="auto"/>
              <w:jc w:val="right"/>
              <w:rPr>
                <w:rFonts w:cs="Arial"/>
                <w:b/>
                <w:bCs/>
                <w:color w:val="000000"/>
                <w:szCs w:val="24"/>
                <w:lang w:eastAsia="en-GB"/>
              </w:rPr>
            </w:pPr>
            <w:r w:rsidRPr="004A0538">
              <w:rPr>
                <w:rFonts w:cs="Arial"/>
                <w:b/>
                <w:bCs/>
                <w:color w:val="000000"/>
                <w:szCs w:val="24"/>
                <w:lang w:eastAsia="en-GB"/>
              </w:rPr>
              <w:t>2019/20</w:t>
            </w:r>
          </w:p>
        </w:tc>
        <w:tc>
          <w:tcPr>
            <w:tcW w:w="1170" w:type="dxa"/>
            <w:tcBorders>
              <w:top w:val="single" w:sz="8" w:space="0" w:color="auto"/>
              <w:left w:val="nil"/>
              <w:bottom w:val="single" w:sz="8" w:space="0" w:color="auto"/>
              <w:right w:val="single" w:sz="8" w:space="0" w:color="auto"/>
            </w:tcBorders>
            <w:shd w:val="clear" w:color="000000" w:fill="BFBFBF"/>
            <w:vAlign w:val="center"/>
            <w:hideMark/>
          </w:tcPr>
          <w:p w14:paraId="1C9AE33A" w14:textId="77777777" w:rsidR="004A0538" w:rsidRPr="004A0538" w:rsidRDefault="004A0538" w:rsidP="004A0538">
            <w:pPr>
              <w:spacing w:after="0" w:line="240" w:lineRule="auto"/>
              <w:jc w:val="right"/>
              <w:rPr>
                <w:rFonts w:cs="Arial"/>
                <w:b/>
                <w:bCs/>
                <w:color w:val="000000"/>
                <w:szCs w:val="24"/>
                <w:lang w:eastAsia="en-GB"/>
              </w:rPr>
            </w:pPr>
            <w:r w:rsidRPr="004A0538">
              <w:rPr>
                <w:rFonts w:cs="Arial"/>
                <w:b/>
                <w:bCs/>
                <w:color w:val="000000"/>
                <w:szCs w:val="24"/>
                <w:lang w:eastAsia="en-GB"/>
              </w:rPr>
              <w:t>2020/21</w:t>
            </w:r>
          </w:p>
        </w:tc>
        <w:tc>
          <w:tcPr>
            <w:tcW w:w="1169" w:type="dxa"/>
            <w:tcBorders>
              <w:top w:val="single" w:sz="8" w:space="0" w:color="auto"/>
              <w:left w:val="nil"/>
              <w:bottom w:val="single" w:sz="8" w:space="0" w:color="auto"/>
              <w:right w:val="single" w:sz="8" w:space="0" w:color="auto"/>
            </w:tcBorders>
            <w:shd w:val="clear" w:color="000000" w:fill="BFBFBF"/>
            <w:vAlign w:val="center"/>
            <w:hideMark/>
          </w:tcPr>
          <w:p w14:paraId="7D0BFA7D" w14:textId="77777777" w:rsidR="004A0538" w:rsidRPr="004A0538" w:rsidRDefault="004A0538" w:rsidP="004A0538">
            <w:pPr>
              <w:spacing w:after="0" w:line="240" w:lineRule="auto"/>
              <w:jc w:val="right"/>
              <w:rPr>
                <w:rFonts w:cs="Arial"/>
                <w:b/>
                <w:bCs/>
                <w:color w:val="000000"/>
                <w:szCs w:val="24"/>
                <w:lang w:eastAsia="en-GB"/>
              </w:rPr>
            </w:pPr>
            <w:r w:rsidRPr="004A0538">
              <w:rPr>
                <w:rFonts w:cs="Arial"/>
                <w:b/>
                <w:bCs/>
                <w:color w:val="000000"/>
                <w:szCs w:val="24"/>
                <w:lang w:eastAsia="en-GB"/>
              </w:rPr>
              <w:t>2021/22</w:t>
            </w:r>
          </w:p>
        </w:tc>
        <w:tc>
          <w:tcPr>
            <w:tcW w:w="1170" w:type="dxa"/>
            <w:tcBorders>
              <w:top w:val="single" w:sz="8" w:space="0" w:color="auto"/>
              <w:left w:val="nil"/>
              <w:bottom w:val="single" w:sz="8" w:space="0" w:color="auto"/>
              <w:right w:val="single" w:sz="8" w:space="0" w:color="auto"/>
            </w:tcBorders>
            <w:shd w:val="clear" w:color="000000" w:fill="BFBFBF"/>
            <w:vAlign w:val="center"/>
            <w:hideMark/>
          </w:tcPr>
          <w:p w14:paraId="4F95861E" w14:textId="77777777" w:rsidR="004A0538" w:rsidRPr="004A0538" w:rsidRDefault="004A0538" w:rsidP="004A0538">
            <w:pPr>
              <w:spacing w:after="0" w:line="240" w:lineRule="auto"/>
              <w:jc w:val="right"/>
              <w:rPr>
                <w:rFonts w:cs="Arial"/>
                <w:b/>
                <w:bCs/>
                <w:color w:val="000000"/>
                <w:szCs w:val="24"/>
                <w:lang w:eastAsia="en-GB"/>
              </w:rPr>
            </w:pPr>
            <w:r w:rsidRPr="004A0538">
              <w:rPr>
                <w:rFonts w:cs="Arial"/>
                <w:b/>
                <w:bCs/>
                <w:color w:val="000000"/>
                <w:szCs w:val="24"/>
                <w:lang w:eastAsia="en-GB"/>
              </w:rPr>
              <w:t>2022/23</w:t>
            </w:r>
          </w:p>
        </w:tc>
      </w:tr>
      <w:tr w:rsidR="004A0538" w:rsidRPr="004A0538" w14:paraId="24605200" w14:textId="77777777" w:rsidTr="004A0538">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617228F2" w14:textId="77777777" w:rsidR="004A0538" w:rsidRPr="004A0538" w:rsidRDefault="004A0538" w:rsidP="004A0538">
            <w:pPr>
              <w:spacing w:after="0" w:line="240" w:lineRule="auto"/>
              <w:rPr>
                <w:rFonts w:cs="Arial"/>
                <w:b/>
                <w:bCs/>
                <w:color w:val="000000"/>
                <w:szCs w:val="24"/>
                <w:lang w:eastAsia="en-GB"/>
              </w:rPr>
            </w:pPr>
            <w:r w:rsidRPr="004A0538">
              <w:rPr>
                <w:rFonts w:cs="Arial"/>
                <w:b/>
                <w:bCs/>
                <w:color w:val="000000"/>
                <w:szCs w:val="24"/>
                <w:lang w:eastAsia="en-GB"/>
              </w:rPr>
              <w:t>Opening Balance</w:t>
            </w:r>
          </w:p>
        </w:tc>
        <w:tc>
          <w:tcPr>
            <w:tcW w:w="1169" w:type="dxa"/>
            <w:tcBorders>
              <w:top w:val="nil"/>
              <w:left w:val="nil"/>
              <w:bottom w:val="single" w:sz="8" w:space="0" w:color="auto"/>
              <w:right w:val="single" w:sz="8" w:space="0" w:color="auto"/>
            </w:tcBorders>
            <w:shd w:val="clear" w:color="auto" w:fill="auto"/>
            <w:vAlign w:val="center"/>
            <w:hideMark/>
          </w:tcPr>
          <w:p w14:paraId="7399BD47"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139.271</w:t>
            </w:r>
          </w:p>
        </w:tc>
        <w:tc>
          <w:tcPr>
            <w:tcW w:w="1170" w:type="dxa"/>
            <w:tcBorders>
              <w:top w:val="nil"/>
              <w:left w:val="nil"/>
              <w:bottom w:val="single" w:sz="8" w:space="0" w:color="auto"/>
              <w:right w:val="single" w:sz="8" w:space="0" w:color="auto"/>
            </w:tcBorders>
            <w:shd w:val="clear" w:color="auto" w:fill="auto"/>
            <w:vAlign w:val="center"/>
            <w:hideMark/>
          </w:tcPr>
          <w:p w14:paraId="6BFF462D"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128.589</w:t>
            </w:r>
          </w:p>
        </w:tc>
        <w:tc>
          <w:tcPr>
            <w:tcW w:w="1169" w:type="dxa"/>
            <w:tcBorders>
              <w:top w:val="nil"/>
              <w:left w:val="nil"/>
              <w:bottom w:val="single" w:sz="8" w:space="0" w:color="auto"/>
              <w:right w:val="single" w:sz="8" w:space="0" w:color="auto"/>
            </w:tcBorders>
            <w:shd w:val="clear" w:color="auto" w:fill="auto"/>
            <w:vAlign w:val="center"/>
            <w:hideMark/>
          </w:tcPr>
          <w:p w14:paraId="3B341014" w14:textId="60EAA5FF" w:rsidR="004A0538" w:rsidRPr="004A0538" w:rsidRDefault="00407446" w:rsidP="004A0538">
            <w:pPr>
              <w:spacing w:after="0" w:line="240" w:lineRule="auto"/>
              <w:jc w:val="right"/>
              <w:rPr>
                <w:rFonts w:cs="Arial"/>
                <w:color w:val="000000"/>
                <w:szCs w:val="24"/>
                <w:lang w:eastAsia="en-GB"/>
              </w:rPr>
            </w:pPr>
            <w:r>
              <w:rPr>
                <w:rFonts w:cs="Arial"/>
                <w:color w:val="000000"/>
                <w:szCs w:val="24"/>
                <w:lang w:eastAsia="en-GB"/>
              </w:rPr>
              <w:t>98.025</w:t>
            </w:r>
          </w:p>
        </w:tc>
        <w:tc>
          <w:tcPr>
            <w:tcW w:w="1170" w:type="dxa"/>
            <w:tcBorders>
              <w:top w:val="nil"/>
              <w:left w:val="nil"/>
              <w:bottom w:val="single" w:sz="8" w:space="0" w:color="auto"/>
              <w:right w:val="single" w:sz="8" w:space="0" w:color="auto"/>
            </w:tcBorders>
            <w:shd w:val="clear" w:color="auto" w:fill="auto"/>
            <w:vAlign w:val="center"/>
            <w:hideMark/>
          </w:tcPr>
          <w:p w14:paraId="5759A01D" w14:textId="378D92FC" w:rsidR="004A0538" w:rsidRPr="004A0538" w:rsidRDefault="004A0538" w:rsidP="00407446">
            <w:pPr>
              <w:spacing w:after="0" w:line="240" w:lineRule="auto"/>
              <w:jc w:val="right"/>
              <w:rPr>
                <w:rFonts w:cs="Arial"/>
                <w:color w:val="000000"/>
                <w:szCs w:val="24"/>
                <w:lang w:eastAsia="en-GB"/>
              </w:rPr>
            </w:pPr>
            <w:r w:rsidRPr="004A0538">
              <w:rPr>
                <w:rFonts w:cs="Arial"/>
                <w:color w:val="000000"/>
                <w:szCs w:val="24"/>
                <w:lang w:eastAsia="en-GB"/>
              </w:rPr>
              <w:t>62.13</w:t>
            </w:r>
            <w:r w:rsidR="00407446">
              <w:rPr>
                <w:rFonts w:cs="Arial"/>
                <w:color w:val="000000"/>
                <w:szCs w:val="24"/>
                <w:lang w:eastAsia="en-GB"/>
              </w:rPr>
              <w:t>7</w:t>
            </w:r>
          </w:p>
        </w:tc>
      </w:tr>
      <w:tr w:rsidR="004A0538" w:rsidRPr="004A0538" w14:paraId="60A152EC" w14:textId="77777777" w:rsidTr="004A0538">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1E369F32" w14:textId="77777777" w:rsidR="004A0538" w:rsidRPr="004A0538" w:rsidRDefault="004A0538" w:rsidP="004A0538">
            <w:pPr>
              <w:spacing w:after="0" w:line="240" w:lineRule="auto"/>
              <w:rPr>
                <w:rFonts w:cs="Arial"/>
                <w:b/>
                <w:bCs/>
                <w:color w:val="000000"/>
                <w:szCs w:val="24"/>
                <w:lang w:eastAsia="en-GB"/>
              </w:rPr>
            </w:pPr>
            <w:r w:rsidRPr="004A0538">
              <w:rPr>
                <w:rFonts w:cs="Arial"/>
                <w:b/>
                <w:bCs/>
                <w:color w:val="000000"/>
                <w:szCs w:val="24"/>
                <w:lang w:eastAsia="en-GB"/>
              </w:rPr>
              <w:t>Gap funding</w:t>
            </w:r>
          </w:p>
        </w:tc>
        <w:tc>
          <w:tcPr>
            <w:tcW w:w="1169" w:type="dxa"/>
            <w:tcBorders>
              <w:top w:val="nil"/>
              <w:left w:val="nil"/>
              <w:bottom w:val="single" w:sz="8" w:space="0" w:color="auto"/>
              <w:right w:val="single" w:sz="8" w:space="0" w:color="auto"/>
            </w:tcBorders>
            <w:shd w:val="clear" w:color="auto" w:fill="auto"/>
            <w:vAlign w:val="center"/>
            <w:hideMark/>
          </w:tcPr>
          <w:p w14:paraId="308608CC"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10.245</w:t>
            </w:r>
          </w:p>
        </w:tc>
        <w:tc>
          <w:tcPr>
            <w:tcW w:w="1170" w:type="dxa"/>
            <w:tcBorders>
              <w:top w:val="nil"/>
              <w:left w:val="nil"/>
              <w:bottom w:val="single" w:sz="8" w:space="0" w:color="auto"/>
              <w:right w:val="single" w:sz="8" w:space="0" w:color="auto"/>
            </w:tcBorders>
            <w:shd w:val="clear" w:color="auto" w:fill="auto"/>
            <w:vAlign w:val="center"/>
            <w:hideMark/>
          </w:tcPr>
          <w:p w14:paraId="210C4677"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30.370</w:t>
            </w:r>
          </w:p>
        </w:tc>
        <w:tc>
          <w:tcPr>
            <w:tcW w:w="1169" w:type="dxa"/>
            <w:tcBorders>
              <w:top w:val="nil"/>
              <w:left w:val="nil"/>
              <w:bottom w:val="single" w:sz="8" w:space="0" w:color="auto"/>
              <w:right w:val="single" w:sz="8" w:space="0" w:color="auto"/>
            </w:tcBorders>
            <w:shd w:val="clear" w:color="auto" w:fill="auto"/>
            <w:vAlign w:val="center"/>
            <w:hideMark/>
          </w:tcPr>
          <w:p w14:paraId="6EF7FA3A"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35.888</w:t>
            </w:r>
          </w:p>
        </w:tc>
        <w:tc>
          <w:tcPr>
            <w:tcW w:w="1170" w:type="dxa"/>
            <w:tcBorders>
              <w:top w:val="nil"/>
              <w:left w:val="nil"/>
              <w:bottom w:val="single" w:sz="8" w:space="0" w:color="auto"/>
              <w:right w:val="single" w:sz="8" w:space="0" w:color="auto"/>
            </w:tcBorders>
            <w:shd w:val="clear" w:color="auto" w:fill="auto"/>
            <w:vAlign w:val="center"/>
            <w:hideMark/>
          </w:tcPr>
          <w:p w14:paraId="3A476959"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47.326</w:t>
            </w:r>
          </w:p>
        </w:tc>
      </w:tr>
      <w:tr w:rsidR="004A0538" w:rsidRPr="004A0538" w14:paraId="143594EA" w14:textId="77777777" w:rsidTr="004A0538">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27F70E8A" w14:textId="77777777" w:rsidR="004A0538" w:rsidRPr="004A0538" w:rsidRDefault="004A0538" w:rsidP="004A0538">
            <w:pPr>
              <w:spacing w:after="0" w:line="240" w:lineRule="auto"/>
              <w:rPr>
                <w:rFonts w:cs="Arial"/>
                <w:b/>
                <w:bCs/>
                <w:color w:val="000000"/>
                <w:szCs w:val="24"/>
                <w:lang w:eastAsia="en-GB"/>
              </w:rPr>
            </w:pPr>
            <w:r w:rsidRPr="004A0538">
              <w:rPr>
                <w:rFonts w:cs="Arial"/>
                <w:b/>
                <w:bCs/>
                <w:color w:val="000000"/>
                <w:szCs w:val="24"/>
                <w:lang w:eastAsia="en-GB"/>
              </w:rPr>
              <w:t>Commitments</w:t>
            </w:r>
          </w:p>
        </w:tc>
        <w:tc>
          <w:tcPr>
            <w:tcW w:w="1169" w:type="dxa"/>
            <w:tcBorders>
              <w:top w:val="nil"/>
              <w:left w:val="nil"/>
              <w:bottom w:val="single" w:sz="8" w:space="0" w:color="auto"/>
              <w:right w:val="single" w:sz="8" w:space="0" w:color="auto"/>
            </w:tcBorders>
            <w:shd w:val="clear" w:color="auto" w:fill="auto"/>
            <w:vAlign w:val="center"/>
            <w:hideMark/>
          </w:tcPr>
          <w:p w14:paraId="4BF57FB3"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0.437</w:t>
            </w:r>
          </w:p>
        </w:tc>
        <w:tc>
          <w:tcPr>
            <w:tcW w:w="1170" w:type="dxa"/>
            <w:tcBorders>
              <w:top w:val="nil"/>
              <w:left w:val="nil"/>
              <w:bottom w:val="single" w:sz="8" w:space="0" w:color="auto"/>
              <w:right w:val="single" w:sz="8" w:space="0" w:color="auto"/>
            </w:tcBorders>
            <w:shd w:val="clear" w:color="auto" w:fill="auto"/>
            <w:vAlign w:val="center"/>
            <w:hideMark/>
          </w:tcPr>
          <w:p w14:paraId="2430DF61"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0.194</w:t>
            </w:r>
          </w:p>
        </w:tc>
        <w:tc>
          <w:tcPr>
            <w:tcW w:w="1169" w:type="dxa"/>
            <w:tcBorders>
              <w:top w:val="nil"/>
              <w:left w:val="nil"/>
              <w:bottom w:val="single" w:sz="8" w:space="0" w:color="auto"/>
              <w:right w:val="single" w:sz="8" w:space="0" w:color="auto"/>
            </w:tcBorders>
            <w:shd w:val="clear" w:color="auto" w:fill="auto"/>
            <w:vAlign w:val="center"/>
            <w:hideMark/>
          </w:tcPr>
          <w:p w14:paraId="01F64E8E"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0.000</w:t>
            </w:r>
          </w:p>
        </w:tc>
        <w:tc>
          <w:tcPr>
            <w:tcW w:w="1170" w:type="dxa"/>
            <w:tcBorders>
              <w:top w:val="nil"/>
              <w:left w:val="nil"/>
              <w:bottom w:val="single" w:sz="8" w:space="0" w:color="auto"/>
              <w:right w:val="single" w:sz="8" w:space="0" w:color="auto"/>
            </w:tcBorders>
            <w:shd w:val="clear" w:color="auto" w:fill="auto"/>
            <w:vAlign w:val="center"/>
            <w:hideMark/>
          </w:tcPr>
          <w:p w14:paraId="6130478B" w14:textId="77777777" w:rsidR="004A0538" w:rsidRPr="004A0538" w:rsidRDefault="004A0538" w:rsidP="004A0538">
            <w:pPr>
              <w:spacing w:after="0" w:line="240" w:lineRule="auto"/>
              <w:jc w:val="right"/>
              <w:rPr>
                <w:rFonts w:cs="Arial"/>
                <w:color w:val="000000"/>
                <w:szCs w:val="24"/>
                <w:lang w:eastAsia="en-GB"/>
              </w:rPr>
            </w:pPr>
            <w:r w:rsidRPr="004A0538">
              <w:rPr>
                <w:rFonts w:cs="Arial"/>
                <w:color w:val="000000"/>
                <w:szCs w:val="24"/>
                <w:lang w:eastAsia="en-GB"/>
              </w:rPr>
              <w:t>0.000</w:t>
            </w:r>
          </w:p>
        </w:tc>
      </w:tr>
      <w:tr w:rsidR="004A0538" w:rsidRPr="004A0538" w14:paraId="580CA0A7" w14:textId="77777777" w:rsidTr="004A0538">
        <w:trPr>
          <w:trHeight w:val="330"/>
        </w:trPr>
        <w:tc>
          <w:tcPr>
            <w:tcW w:w="5093" w:type="dxa"/>
            <w:tcBorders>
              <w:top w:val="nil"/>
              <w:left w:val="single" w:sz="8" w:space="0" w:color="auto"/>
              <w:bottom w:val="single" w:sz="8" w:space="0" w:color="auto"/>
              <w:right w:val="single" w:sz="8" w:space="0" w:color="auto"/>
            </w:tcBorders>
            <w:shd w:val="clear" w:color="000000" w:fill="BFBFBF"/>
            <w:vAlign w:val="center"/>
            <w:hideMark/>
          </w:tcPr>
          <w:p w14:paraId="669E9153" w14:textId="77777777" w:rsidR="004A0538" w:rsidRPr="004A0538" w:rsidRDefault="004A0538" w:rsidP="004A0538">
            <w:pPr>
              <w:spacing w:after="0" w:line="240" w:lineRule="auto"/>
              <w:rPr>
                <w:rFonts w:cs="Arial"/>
                <w:b/>
                <w:bCs/>
                <w:color w:val="000000"/>
                <w:szCs w:val="24"/>
                <w:lang w:eastAsia="en-GB"/>
              </w:rPr>
            </w:pPr>
            <w:r w:rsidRPr="004A0538">
              <w:rPr>
                <w:rFonts w:cs="Arial"/>
                <w:b/>
                <w:bCs/>
                <w:color w:val="000000"/>
                <w:szCs w:val="24"/>
                <w:lang w:eastAsia="en-GB"/>
              </w:rPr>
              <w:t>Closing balance</w:t>
            </w:r>
          </w:p>
        </w:tc>
        <w:tc>
          <w:tcPr>
            <w:tcW w:w="1169" w:type="dxa"/>
            <w:tcBorders>
              <w:top w:val="nil"/>
              <w:left w:val="nil"/>
              <w:bottom w:val="single" w:sz="8" w:space="0" w:color="auto"/>
              <w:right w:val="single" w:sz="8" w:space="0" w:color="auto"/>
            </w:tcBorders>
            <w:shd w:val="clear" w:color="000000" w:fill="BFBFBF"/>
            <w:vAlign w:val="center"/>
            <w:hideMark/>
          </w:tcPr>
          <w:p w14:paraId="6C39FF75" w14:textId="77777777" w:rsidR="004A0538" w:rsidRPr="004A0538" w:rsidRDefault="004A0538" w:rsidP="004A0538">
            <w:pPr>
              <w:spacing w:after="0" w:line="240" w:lineRule="auto"/>
              <w:jc w:val="right"/>
              <w:rPr>
                <w:rFonts w:cs="Arial"/>
                <w:b/>
                <w:bCs/>
                <w:color w:val="000000"/>
                <w:szCs w:val="24"/>
                <w:lang w:eastAsia="en-GB"/>
              </w:rPr>
            </w:pPr>
            <w:r w:rsidRPr="004A0538">
              <w:rPr>
                <w:rFonts w:cs="Arial"/>
                <w:b/>
                <w:bCs/>
                <w:color w:val="000000"/>
                <w:szCs w:val="24"/>
                <w:lang w:eastAsia="en-GB"/>
              </w:rPr>
              <w:t>128.589</w:t>
            </w:r>
          </w:p>
        </w:tc>
        <w:tc>
          <w:tcPr>
            <w:tcW w:w="1170" w:type="dxa"/>
            <w:tcBorders>
              <w:top w:val="nil"/>
              <w:left w:val="nil"/>
              <w:bottom w:val="single" w:sz="8" w:space="0" w:color="auto"/>
              <w:right w:val="single" w:sz="8" w:space="0" w:color="auto"/>
            </w:tcBorders>
            <w:shd w:val="clear" w:color="000000" w:fill="BFBFBF"/>
            <w:vAlign w:val="center"/>
            <w:hideMark/>
          </w:tcPr>
          <w:p w14:paraId="080A1156" w14:textId="563FFF51" w:rsidR="004A0538" w:rsidRPr="004A0538" w:rsidRDefault="00407446" w:rsidP="004A0538">
            <w:pPr>
              <w:spacing w:after="0" w:line="240" w:lineRule="auto"/>
              <w:jc w:val="right"/>
              <w:rPr>
                <w:rFonts w:cs="Arial"/>
                <w:b/>
                <w:bCs/>
                <w:color w:val="000000"/>
                <w:szCs w:val="24"/>
                <w:lang w:eastAsia="en-GB"/>
              </w:rPr>
            </w:pPr>
            <w:r>
              <w:rPr>
                <w:rFonts w:cs="Arial"/>
                <w:b/>
                <w:bCs/>
                <w:color w:val="000000"/>
                <w:szCs w:val="24"/>
                <w:lang w:eastAsia="en-GB"/>
              </w:rPr>
              <w:t>98.025</w:t>
            </w:r>
          </w:p>
        </w:tc>
        <w:tc>
          <w:tcPr>
            <w:tcW w:w="1169" w:type="dxa"/>
            <w:tcBorders>
              <w:top w:val="nil"/>
              <w:left w:val="nil"/>
              <w:bottom w:val="single" w:sz="8" w:space="0" w:color="auto"/>
              <w:right w:val="single" w:sz="8" w:space="0" w:color="auto"/>
            </w:tcBorders>
            <w:shd w:val="clear" w:color="000000" w:fill="BFBFBF"/>
            <w:vAlign w:val="center"/>
            <w:hideMark/>
          </w:tcPr>
          <w:p w14:paraId="0547BE07" w14:textId="001876FF" w:rsidR="004A0538" w:rsidRPr="004A0538" w:rsidRDefault="00407446" w:rsidP="004A0538">
            <w:pPr>
              <w:spacing w:after="0" w:line="240" w:lineRule="auto"/>
              <w:jc w:val="right"/>
              <w:rPr>
                <w:rFonts w:cs="Arial"/>
                <w:b/>
                <w:bCs/>
                <w:color w:val="000000"/>
                <w:szCs w:val="24"/>
                <w:lang w:eastAsia="en-GB"/>
              </w:rPr>
            </w:pPr>
            <w:r>
              <w:rPr>
                <w:rFonts w:cs="Arial"/>
                <w:b/>
                <w:bCs/>
                <w:color w:val="000000"/>
                <w:szCs w:val="24"/>
                <w:lang w:eastAsia="en-GB"/>
              </w:rPr>
              <w:t>62.137</w:t>
            </w:r>
          </w:p>
        </w:tc>
        <w:tc>
          <w:tcPr>
            <w:tcW w:w="1170" w:type="dxa"/>
            <w:tcBorders>
              <w:top w:val="nil"/>
              <w:left w:val="nil"/>
              <w:bottom w:val="single" w:sz="8" w:space="0" w:color="auto"/>
              <w:right w:val="single" w:sz="8" w:space="0" w:color="auto"/>
            </w:tcBorders>
            <w:shd w:val="clear" w:color="000000" w:fill="BFBFBF"/>
            <w:vAlign w:val="center"/>
            <w:hideMark/>
          </w:tcPr>
          <w:p w14:paraId="2C51C559" w14:textId="10AD136A" w:rsidR="004A0538" w:rsidRPr="004A0538" w:rsidRDefault="004A0538" w:rsidP="00407446">
            <w:pPr>
              <w:spacing w:after="0" w:line="240" w:lineRule="auto"/>
              <w:jc w:val="right"/>
              <w:rPr>
                <w:rFonts w:cs="Arial"/>
                <w:b/>
                <w:bCs/>
                <w:color w:val="000000"/>
                <w:szCs w:val="24"/>
                <w:lang w:eastAsia="en-GB"/>
              </w:rPr>
            </w:pPr>
            <w:r w:rsidRPr="004A0538">
              <w:rPr>
                <w:rFonts w:cs="Arial"/>
                <w:b/>
                <w:bCs/>
                <w:color w:val="000000"/>
                <w:szCs w:val="24"/>
                <w:lang w:eastAsia="en-GB"/>
              </w:rPr>
              <w:t>14.81</w:t>
            </w:r>
            <w:r w:rsidR="00407446">
              <w:rPr>
                <w:rFonts w:cs="Arial"/>
                <w:b/>
                <w:bCs/>
                <w:color w:val="000000"/>
                <w:szCs w:val="24"/>
                <w:lang w:eastAsia="en-GB"/>
              </w:rPr>
              <w:t>1</w:t>
            </w:r>
          </w:p>
        </w:tc>
      </w:tr>
    </w:tbl>
    <w:p w14:paraId="7CE12AE9" w14:textId="77777777" w:rsidR="00D02B3A" w:rsidRPr="00DE45C1" w:rsidRDefault="00D02B3A" w:rsidP="00BC46D7">
      <w:pPr>
        <w:tabs>
          <w:tab w:val="left" w:pos="8288"/>
        </w:tabs>
        <w:spacing w:after="0"/>
        <w:jc w:val="both"/>
        <w:rPr>
          <w:rFonts w:cs="Arial"/>
          <w:szCs w:val="24"/>
          <w:highlight w:val="yellow"/>
        </w:rPr>
      </w:pPr>
    </w:p>
    <w:p w14:paraId="6D2B84E5" w14:textId="646B0106" w:rsidR="005C57E8" w:rsidRPr="005C57E8" w:rsidRDefault="005C57E8" w:rsidP="005C57E8">
      <w:pPr>
        <w:autoSpaceDE w:val="0"/>
        <w:autoSpaceDN w:val="0"/>
        <w:adjustRightInd w:val="0"/>
        <w:spacing w:after="0" w:line="240" w:lineRule="auto"/>
        <w:ind w:right="-24"/>
        <w:jc w:val="both"/>
        <w:rPr>
          <w:rFonts w:eastAsia="Calibri" w:cs="Arial"/>
          <w:color w:val="000000"/>
          <w:szCs w:val="24"/>
        </w:rPr>
      </w:pPr>
      <w:r w:rsidRPr="005C57E8">
        <w:rPr>
          <w:rFonts w:eastAsia="Calibri" w:cs="Arial"/>
          <w:color w:val="000000"/>
          <w:szCs w:val="24"/>
        </w:rPr>
        <w:t>The county</w:t>
      </w:r>
      <w:r w:rsidR="00515C87">
        <w:rPr>
          <w:rFonts w:eastAsia="Calibri" w:cs="Arial"/>
          <w:color w:val="000000"/>
          <w:szCs w:val="24"/>
        </w:rPr>
        <w:t xml:space="preserve"> fund shown at the top of t</w:t>
      </w:r>
      <w:r w:rsidRPr="005C57E8">
        <w:rPr>
          <w:rFonts w:eastAsia="Calibri" w:cs="Arial"/>
          <w:color w:val="000000"/>
          <w:szCs w:val="24"/>
        </w:rPr>
        <w:t xml:space="preserve">able </w:t>
      </w:r>
      <w:r w:rsidR="00F7294A">
        <w:rPr>
          <w:rFonts w:eastAsia="Calibri" w:cs="Arial"/>
          <w:color w:val="000000"/>
          <w:szCs w:val="24"/>
        </w:rPr>
        <w:t>7</w:t>
      </w:r>
      <w:r w:rsidRPr="005C57E8">
        <w:rPr>
          <w:rFonts w:eastAsia="Calibri" w:cs="Arial"/>
          <w:color w:val="000000"/>
          <w:szCs w:val="24"/>
        </w:rPr>
        <w:t xml:space="preserve">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w:t>
      </w:r>
    </w:p>
    <w:p w14:paraId="39963D27" w14:textId="77777777" w:rsidR="005C57E8" w:rsidRPr="005C57E8" w:rsidRDefault="005C57E8" w:rsidP="005C57E8">
      <w:pPr>
        <w:autoSpaceDE w:val="0"/>
        <w:autoSpaceDN w:val="0"/>
        <w:adjustRightInd w:val="0"/>
        <w:spacing w:after="0" w:line="240" w:lineRule="auto"/>
        <w:ind w:right="-24"/>
        <w:jc w:val="both"/>
        <w:rPr>
          <w:rFonts w:eastAsia="Calibri" w:cs="Arial"/>
          <w:color w:val="000000"/>
          <w:szCs w:val="24"/>
        </w:rPr>
      </w:pPr>
    </w:p>
    <w:p w14:paraId="53B4D3AA" w14:textId="4240F751" w:rsidR="005C57E8" w:rsidRPr="005C57E8" w:rsidRDefault="005C57E8" w:rsidP="005C57E8">
      <w:pPr>
        <w:autoSpaceDE w:val="0"/>
        <w:autoSpaceDN w:val="0"/>
        <w:adjustRightInd w:val="0"/>
        <w:spacing w:after="0" w:line="240" w:lineRule="auto"/>
        <w:ind w:right="-24"/>
        <w:jc w:val="both"/>
        <w:rPr>
          <w:rFonts w:eastAsia="Calibri" w:cs="Arial"/>
          <w:color w:val="000000"/>
          <w:szCs w:val="24"/>
        </w:rPr>
      </w:pPr>
      <w:r w:rsidRPr="005C57E8">
        <w:rPr>
          <w:rFonts w:eastAsia="Calibri" w:cs="Arial"/>
          <w:color w:val="000000"/>
          <w:szCs w:val="24"/>
        </w:rPr>
        <w:t xml:space="preserve">The value of the uncommitted transitional reserve is currently forecast to be £138.640m by the end of March 2021 </w:t>
      </w:r>
      <w:r w:rsidR="00407446">
        <w:rPr>
          <w:rFonts w:eastAsia="Calibri" w:cs="Arial"/>
          <w:color w:val="000000"/>
          <w:szCs w:val="24"/>
        </w:rPr>
        <w:t>providing there is</w:t>
      </w:r>
      <w:r w:rsidRPr="005C57E8">
        <w:rPr>
          <w:rFonts w:eastAsia="Calibri" w:cs="Arial"/>
          <w:color w:val="000000"/>
          <w:szCs w:val="24"/>
        </w:rPr>
        <w:t xml:space="preserve"> no requirement for structural funding support from reserves to the 2019/20 or 2020/21 budgets. This </w:t>
      </w:r>
      <w:r>
        <w:rPr>
          <w:rFonts w:eastAsia="Calibri" w:cs="Arial"/>
          <w:color w:val="000000"/>
          <w:szCs w:val="24"/>
        </w:rPr>
        <w:t>i</w:t>
      </w:r>
      <w:r w:rsidRPr="005C57E8">
        <w:rPr>
          <w:rFonts w:eastAsia="Calibri" w:cs="Arial"/>
          <w:color w:val="000000"/>
          <w:szCs w:val="24"/>
        </w:rPr>
        <w:t>nclu</w:t>
      </w:r>
      <w:r>
        <w:rPr>
          <w:rFonts w:eastAsia="Calibri" w:cs="Arial"/>
          <w:color w:val="000000"/>
          <w:szCs w:val="24"/>
        </w:rPr>
        <w:t>des</w:t>
      </w:r>
      <w:r w:rsidRPr="005C57E8">
        <w:rPr>
          <w:rFonts w:eastAsia="Calibri" w:cs="Arial"/>
          <w:color w:val="000000"/>
          <w:szCs w:val="24"/>
        </w:rPr>
        <w:t xml:space="preserve"> the 2018/19 forecast revenue underspend of £8.462m</w:t>
      </w:r>
      <w:r>
        <w:rPr>
          <w:rFonts w:eastAsia="Calibri" w:cs="Arial"/>
          <w:color w:val="000000"/>
          <w:szCs w:val="24"/>
        </w:rPr>
        <w:t>.</w:t>
      </w:r>
      <w:r w:rsidRPr="005C57E8">
        <w:rPr>
          <w:rFonts w:eastAsia="Calibri" w:cs="Arial"/>
          <w:color w:val="000000"/>
          <w:szCs w:val="24"/>
        </w:rPr>
        <w:t xml:space="preserve"> </w:t>
      </w:r>
    </w:p>
    <w:p w14:paraId="5B28FA12" w14:textId="77777777" w:rsidR="005C57E8" w:rsidRPr="005C57E8" w:rsidRDefault="005C57E8" w:rsidP="005C57E8">
      <w:pPr>
        <w:autoSpaceDE w:val="0"/>
        <w:autoSpaceDN w:val="0"/>
        <w:adjustRightInd w:val="0"/>
        <w:spacing w:after="0" w:line="240" w:lineRule="auto"/>
        <w:ind w:right="-24"/>
        <w:jc w:val="both"/>
        <w:rPr>
          <w:rFonts w:eastAsia="Calibri" w:cs="Arial"/>
          <w:color w:val="000000"/>
          <w:szCs w:val="24"/>
        </w:rPr>
      </w:pPr>
    </w:p>
    <w:p w14:paraId="04347617" w14:textId="2AC4C648" w:rsidR="00F8395F" w:rsidRDefault="005C57E8" w:rsidP="005C57E8">
      <w:pPr>
        <w:autoSpaceDE w:val="0"/>
        <w:autoSpaceDN w:val="0"/>
        <w:adjustRightInd w:val="0"/>
        <w:spacing w:after="0" w:line="240" w:lineRule="auto"/>
        <w:ind w:right="-24"/>
        <w:jc w:val="both"/>
        <w:rPr>
          <w:rFonts w:eastAsia="Calibri" w:cs="Arial"/>
          <w:color w:val="000000"/>
          <w:szCs w:val="24"/>
        </w:rPr>
      </w:pPr>
      <w:r w:rsidRPr="005C57E8">
        <w:rPr>
          <w:rFonts w:eastAsia="Calibri" w:cs="Arial"/>
          <w:color w:val="000000"/>
          <w:szCs w:val="24"/>
        </w:rPr>
        <w:t xml:space="preserve">The transitional reserve is forecast to be sufficient to meet the identified funding gaps through to 2022/23 as set out in table </w:t>
      </w:r>
      <w:r w:rsidR="00F7294A">
        <w:rPr>
          <w:rFonts w:eastAsia="Calibri" w:cs="Arial"/>
          <w:color w:val="000000"/>
          <w:szCs w:val="24"/>
        </w:rPr>
        <w:t>8</w:t>
      </w:r>
      <w:r w:rsidRPr="005C57E8">
        <w:rPr>
          <w:rFonts w:eastAsia="Calibri" w:cs="Arial"/>
          <w:color w:val="000000"/>
          <w:szCs w:val="24"/>
        </w:rPr>
        <w:t xml:space="preserve">. However, the intention is to identify further savings to reduce the gap, and hence the call on reserves, for 2020/21 and beyond.  </w:t>
      </w:r>
    </w:p>
    <w:p w14:paraId="502DD89C" w14:textId="77777777" w:rsidR="00F8395F" w:rsidRPr="00DE45C1" w:rsidRDefault="00F8395F" w:rsidP="004321DB">
      <w:pPr>
        <w:spacing w:after="0"/>
        <w:jc w:val="both"/>
        <w:rPr>
          <w:rFonts w:cs="Arial"/>
          <w:b/>
          <w:szCs w:val="24"/>
          <w:highlight w:val="yellow"/>
        </w:rPr>
      </w:pPr>
    </w:p>
    <w:p w14:paraId="6BAD2554" w14:textId="3ADFF405" w:rsidR="0044456F" w:rsidRPr="005C57E8" w:rsidRDefault="00F7294A" w:rsidP="004321DB">
      <w:pPr>
        <w:spacing w:after="0"/>
        <w:jc w:val="both"/>
        <w:rPr>
          <w:rFonts w:cs="Arial"/>
          <w:b/>
          <w:szCs w:val="24"/>
        </w:rPr>
      </w:pPr>
      <w:r>
        <w:rPr>
          <w:rFonts w:cs="Arial"/>
          <w:b/>
          <w:szCs w:val="24"/>
        </w:rPr>
        <w:t>5</w:t>
      </w:r>
      <w:r w:rsidR="00345D9F" w:rsidRPr="005C57E8">
        <w:rPr>
          <w:rFonts w:cs="Arial"/>
          <w:b/>
          <w:szCs w:val="24"/>
        </w:rPr>
        <w:t xml:space="preserve">. </w:t>
      </w:r>
      <w:r w:rsidR="00632869" w:rsidRPr="005C57E8">
        <w:rPr>
          <w:rFonts w:cs="Arial"/>
          <w:b/>
          <w:szCs w:val="24"/>
        </w:rPr>
        <w:t>The Overall Rev</w:t>
      </w:r>
      <w:r w:rsidR="008E4942" w:rsidRPr="005C57E8">
        <w:rPr>
          <w:rFonts w:cs="Arial"/>
          <w:b/>
          <w:szCs w:val="24"/>
        </w:rPr>
        <w:t xml:space="preserve">enue Budget Position for </w:t>
      </w:r>
      <w:r w:rsidR="00975187" w:rsidRPr="005C57E8">
        <w:rPr>
          <w:rFonts w:cs="Arial"/>
          <w:b/>
          <w:szCs w:val="24"/>
        </w:rPr>
        <w:t>201</w:t>
      </w:r>
      <w:r w:rsidR="005C57E8" w:rsidRPr="005C57E8">
        <w:rPr>
          <w:rFonts w:cs="Arial"/>
          <w:b/>
          <w:szCs w:val="24"/>
        </w:rPr>
        <w:t>9</w:t>
      </w:r>
      <w:r w:rsidR="00975187" w:rsidRPr="005C57E8">
        <w:rPr>
          <w:rFonts w:cs="Arial"/>
          <w:b/>
          <w:szCs w:val="24"/>
        </w:rPr>
        <w:t>/</w:t>
      </w:r>
      <w:r w:rsidR="005C57E8" w:rsidRPr="005C57E8">
        <w:rPr>
          <w:rFonts w:cs="Arial"/>
          <w:b/>
          <w:szCs w:val="24"/>
        </w:rPr>
        <w:t>20</w:t>
      </w:r>
    </w:p>
    <w:p w14:paraId="6C7DFFD9" w14:textId="77777777" w:rsidR="00632869" w:rsidRPr="00DE45C1" w:rsidRDefault="00632869" w:rsidP="004321DB">
      <w:pPr>
        <w:pStyle w:val="NoSpacing"/>
        <w:spacing w:line="276" w:lineRule="auto"/>
        <w:jc w:val="both"/>
        <w:rPr>
          <w:rFonts w:ascii="Arial" w:hAnsi="Arial" w:cs="Arial"/>
          <w:highlight w:val="yellow"/>
        </w:rPr>
      </w:pPr>
    </w:p>
    <w:p w14:paraId="38CD1D3F" w14:textId="4D042828" w:rsidR="00632869" w:rsidRPr="005C57E8" w:rsidRDefault="00F7294A" w:rsidP="004321DB">
      <w:pPr>
        <w:spacing w:after="0"/>
        <w:jc w:val="both"/>
        <w:rPr>
          <w:rFonts w:cs="Arial"/>
          <w:i/>
          <w:szCs w:val="24"/>
        </w:rPr>
      </w:pPr>
      <w:r>
        <w:rPr>
          <w:rFonts w:cs="Arial"/>
          <w:i/>
          <w:szCs w:val="24"/>
        </w:rPr>
        <w:t>5</w:t>
      </w:r>
      <w:r w:rsidR="00317423" w:rsidRPr="005C57E8">
        <w:rPr>
          <w:rFonts w:cs="Arial"/>
          <w:i/>
          <w:szCs w:val="24"/>
        </w:rPr>
        <w:t xml:space="preserve">.1 </w:t>
      </w:r>
      <w:r w:rsidR="002236B9" w:rsidRPr="005C57E8">
        <w:rPr>
          <w:rFonts w:cs="Arial"/>
          <w:i/>
          <w:szCs w:val="24"/>
        </w:rPr>
        <w:t xml:space="preserve">Summary of </w:t>
      </w:r>
      <w:r w:rsidR="00515C87">
        <w:rPr>
          <w:rFonts w:cs="Arial"/>
          <w:i/>
          <w:szCs w:val="24"/>
        </w:rPr>
        <w:t>c</w:t>
      </w:r>
      <w:r w:rsidR="002236B9" w:rsidRPr="005C57E8">
        <w:rPr>
          <w:rFonts w:cs="Arial"/>
          <w:i/>
          <w:szCs w:val="24"/>
        </w:rPr>
        <w:t xml:space="preserve">abinet's </w:t>
      </w:r>
      <w:r w:rsidR="00515C87">
        <w:rPr>
          <w:rFonts w:cs="Arial"/>
          <w:i/>
          <w:szCs w:val="24"/>
        </w:rPr>
        <w:t>revenue b</w:t>
      </w:r>
      <w:r w:rsidR="002236B9" w:rsidRPr="005C57E8">
        <w:rPr>
          <w:rFonts w:cs="Arial"/>
          <w:i/>
          <w:szCs w:val="24"/>
        </w:rPr>
        <w:t xml:space="preserve">udget </w:t>
      </w:r>
      <w:r w:rsidR="00515C87">
        <w:rPr>
          <w:rFonts w:cs="Arial"/>
          <w:i/>
          <w:szCs w:val="24"/>
        </w:rPr>
        <w:t>p</w:t>
      </w:r>
      <w:r w:rsidR="0045334D" w:rsidRPr="005C57E8">
        <w:rPr>
          <w:rFonts w:cs="Arial"/>
          <w:i/>
          <w:szCs w:val="24"/>
        </w:rPr>
        <w:t>roposals</w:t>
      </w:r>
    </w:p>
    <w:p w14:paraId="2FE7C5A4" w14:textId="77777777" w:rsidR="00317423" w:rsidRPr="005C57E8" w:rsidRDefault="00317423" w:rsidP="004321DB">
      <w:pPr>
        <w:spacing w:after="0"/>
        <w:jc w:val="both"/>
        <w:rPr>
          <w:rFonts w:cs="Arial"/>
          <w:i/>
          <w:szCs w:val="24"/>
        </w:rPr>
      </w:pPr>
    </w:p>
    <w:p w14:paraId="6995F08E" w14:textId="3914E264" w:rsidR="00736F79" w:rsidRPr="005C57E8" w:rsidRDefault="00632869" w:rsidP="004321DB">
      <w:pPr>
        <w:spacing w:after="0"/>
        <w:jc w:val="both"/>
        <w:rPr>
          <w:rFonts w:cs="Arial"/>
          <w:szCs w:val="24"/>
        </w:rPr>
      </w:pPr>
      <w:r w:rsidRPr="005C57E8">
        <w:rPr>
          <w:rFonts w:cs="Arial"/>
          <w:szCs w:val="24"/>
        </w:rPr>
        <w:t xml:space="preserve">The </w:t>
      </w:r>
      <w:r w:rsidR="0044456F" w:rsidRPr="005C57E8">
        <w:rPr>
          <w:rFonts w:cs="Arial"/>
          <w:szCs w:val="24"/>
        </w:rPr>
        <w:t xml:space="preserve">overall </w:t>
      </w:r>
      <w:r w:rsidRPr="005C57E8">
        <w:rPr>
          <w:rFonts w:cs="Arial"/>
          <w:szCs w:val="24"/>
        </w:rPr>
        <w:t>impact of the</w:t>
      </w:r>
      <w:r w:rsidR="004A0538">
        <w:rPr>
          <w:rFonts w:cs="Arial"/>
          <w:szCs w:val="24"/>
        </w:rPr>
        <w:t xml:space="preserve"> cabinet's recommendations to full c</w:t>
      </w:r>
      <w:r w:rsidR="002236B9" w:rsidRPr="005C57E8">
        <w:rPr>
          <w:rFonts w:cs="Arial"/>
          <w:szCs w:val="24"/>
        </w:rPr>
        <w:t>ouncil for the</w:t>
      </w:r>
      <w:r w:rsidRPr="005C57E8">
        <w:rPr>
          <w:rFonts w:cs="Arial"/>
          <w:szCs w:val="24"/>
        </w:rPr>
        <w:t xml:space="preserve"> </w:t>
      </w:r>
      <w:r w:rsidR="00B53C41">
        <w:rPr>
          <w:rFonts w:cs="Arial"/>
          <w:szCs w:val="24"/>
        </w:rPr>
        <w:t>2019/20</w:t>
      </w:r>
      <w:r w:rsidR="003862D8" w:rsidRPr="005C57E8">
        <w:rPr>
          <w:rFonts w:cs="Arial"/>
          <w:szCs w:val="24"/>
        </w:rPr>
        <w:t xml:space="preserve"> </w:t>
      </w:r>
      <w:r w:rsidRPr="005C57E8">
        <w:rPr>
          <w:rFonts w:cs="Arial"/>
          <w:szCs w:val="24"/>
        </w:rPr>
        <w:t xml:space="preserve">revenue budget </w:t>
      </w:r>
      <w:r w:rsidR="00907D24" w:rsidRPr="005C57E8">
        <w:rPr>
          <w:rFonts w:cs="Arial"/>
          <w:szCs w:val="24"/>
        </w:rPr>
        <w:t>and the</w:t>
      </w:r>
      <w:r w:rsidR="002E691D" w:rsidRPr="005C57E8">
        <w:rPr>
          <w:rFonts w:cs="Arial"/>
          <w:szCs w:val="24"/>
        </w:rPr>
        <w:t xml:space="preserve"> potential changes </w:t>
      </w:r>
      <w:r w:rsidR="00922715" w:rsidRPr="005C57E8">
        <w:rPr>
          <w:rFonts w:cs="Arial"/>
          <w:szCs w:val="24"/>
        </w:rPr>
        <w:t>are</w:t>
      </w:r>
      <w:r w:rsidR="00624D24" w:rsidRPr="005C57E8">
        <w:rPr>
          <w:rFonts w:cs="Arial"/>
          <w:szCs w:val="24"/>
        </w:rPr>
        <w:t xml:space="preserve"> set out in </w:t>
      </w:r>
      <w:r w:rsidR="001371ED" w:rsidRPr="005C57E8">
        <w:rPr>
          <w:rFonts w:cs="Arial"/>
          <w:szCs w:val="24"/>
        </w:rPr>
        <w:t xml:space="preserve">Table </w:t>
      </w:r>
      <w:r w:rsidR="00741EE3">
        <w:rPr>
          <w:rFonts w:cs="Arial"/>
          <w:szCs w:val="24"/>
        </w:rPr>
        <w:t>9</w:t>
      </w:r>
      <w:r w:rsidR="00C727DC" w:rsidRPr="005C57E8">
        <w:rPr>
          <w:rFonts w:cs="Arial"/>
          <w:szCs w:val="24"/>
        </w:rPr>
        <w:t>.</w:t>
      </w:r>
    </w:p>
    <w:p w14:paraId="383A5878" w14:textId="77777777" w:rsidR="00736F79" w:rsidRPr="005C57E8" w:rsidRDefault="00736F79" w:rsidP="004321DB">
      <w:pPr>
        <w:spacing w:after="0"/>
        <w:jc w:val="both"/>
        <w:rPr>
          <w:rFonts w:cs="Arial"/>
          <w:szCs w:val="24"/>
        </w:rPr>
      </w:pPr>
    </w:p>
    <w:p w14:paraId="3160C81D" w14:textId="77777777" w:rsidR="00736F79" w:rsidRPr="005C57E8" w:rsidRDefault="006D57A9" w:rsidP="004321DB">
      <w:pPr>
        <w:spacing w:after="0"/>
        <w:jc w:val="both"/>
        <w:rPr>
          <w:rFonts w:cs="Arial"/>
          <w:szCs w:val="24"/>
        </w:rPr>
      </w:pPr>
      <w:r w:rsidRPr="005C57E8">
        <w:rPr>
          <w:rFonts w:cs="Arial"/>
          <w:szCs w:val="24"/>
        </w:rPr>
        <w:t xml:space="preserve">The table reflects </w:t>
      </w:r>
      <w:r w:rsidR="004034E7" w:rsidRPr="005C57E8">
        <w:rPr>
          <w:rFonts w:cs="Arial"/>
          <w:szCs w:val="24"/>
        </w:rPr>
        <w:t xml:space="preserve">the </w:t>
      </w:r>
      <w:r w:rsidR="00736F79" w:rsidRPr="005C57E8">
        <w:rPr>
          <w:rFonts w:cs="Arial"/>
          <w:szCs w:val="24"/>
        </w:rPr>
        <w:t>following:</w:t>
      </w:r>
    </w:p>
    <w:p w14:paraId="68E9D62D" w14:textId="77777777" w:rsidR="00EA505A" w:rsidRPr="005C57E8" w:rsidRDefault="00EA505A" w:rsidP="004321DB">
      <w:pPr>
        <w:spacing w:after="0"/>
        <w:jc w:val="both"/>
        <w:rPr>
          <w:rFonts w:cs="Arial"/>
          <w:szCs w:val="24"/>
        </w:rPr>
      </w:pPr>
    </w:p>
    <w:p w14:paraId="6DCA6DC9" w14:textId="361627F9" w:rsidR="00EA505A" w:rsidRPr="005C57E8" w:rsidRDefault="005C57E8" w:rsidP="00EA505A">
      <w:pPr>
        <w:pStyle w:val="ListParagraph"/>
        <w:numPr>
          <w:ilvl w:val="0"/>
          <w:numId w:val="6"/>
        </w:numPr>
        <w:spacing w:after="0"/>
        <w:ind w:left="284" w:hanging="284"/>
        <w:jc w:val="both"/>
        <w:rPr>
          <w:rFonts w:cs="Arial"/>
          <w:szCs w:val="24"/>
        </w:rPr>
      </w:pPr>
      <w:r w:rsidRPr="005C57E8">
        <w:rPr>
          <w:rFonts w:cs="Arial"/>
          <w:szCs w:val="24"/>
        </w:rPr>
        <w:t>i</w:t>
      </w:r>
      <w:r w:rsidR="004034E7" w:rsidRPr="005C57E8">
        <w:rPr>
          <w:rFonts w:cs="Arial"/>
          <w:szCs w:val="24"/>
        </w:rPr>
        <w:t>mpact of further cost pressures</w:t>
      </w:r>
      <w:r w:rsidR="00FE5CF3" w:rsidRPr="005C57E8">
        <w:rPr>
          <w:rFonts w:cs="Arial"/>
          <w:szCs w:val="24"/>
        </w:rPr>
        <w:t>;</w:t>
      </w:r>
    </w:p>
    <w:p w14:paraId="09E2B860" w14:textId="77777777" w:rsidR="00736F79" w:rsidRPr="005C57E8" w:rsidRDefault="004034E7" w:rsidP="00EA505A">
      <w:pPr>
        <w:pStyle w:val="ListParagraph"/>
        <w:spacing w:after="0"/>
        <w:ind w:left="284"/>
        <w:jc w:val="both"/>
        <w:rPr>
          <w:rFonts w:cs="Arial"/>
          <w:szCs w:val="24"/>
        </w:rPr>
      </w:pPr>
      <w:r w:rsidRPr="005C57E8">
        <w:rPr>
          <w:rFonts w:cs="Arial"/>
          <w:szCs w:val="24"/>
        </w:rPr>
        <w:t xml:space="preserve"> </w:t>
      </w:r>
    </w:p>
    <w:p w14:paraId="59C7F432" w14:textId="57DFEBC0" w:rsidR="00736F79" w:rsidRPr="005C57E8" w:rsidRDefault="005C57E8" w:rsidP="00AA35F3">
      <w:pPr>
        <w:pStyle w:val="ListParagraph"/>
        <w:numPr>
          <w:ilvl w:val="0"/>
          <w:numId w:val="6"/>
        </w:numPr>
        <w:spacing w:after="0"/>
        <w:ind w:left="284" w:hanging="284"/>
        <w:jc w:val="both"/>
        <w:rPr>
          <w:rFonts w:cs="Arial"/>
          <w:szCs w:val="24"/>
        </w:rPr>
      </w:pPr>
      <w:r w:rsidRPr="005C57E8">
        <w:rPr>
          <w:rFonts w:cs="Arial"/>
          <w:szCs w:val="24"/>
        </w:rPr>
        <w:t>c</w:t>
      </w:r>
      <w:r w:rsidR="004034E7" w:rsidRPr="005C57E8">
        <w:rPr>
          <w:rFonts w:cs="Arial"/>
          <w:szCs w:val="24"/>
        </w:rPr>
        <w:t>hanges in the level of resources</w:t>
      </w:r>
      <w:r w:rsidR="00907D24" w:rsidRPr="005C57E8">
        <w:rPr>
          <w:rFonts w:cs="Arial"/>
          <w:szCs w:val="24"/>
        </w:rPr>
        <w:t xml:space="preserve"> that are currently known</w:t>
      </w:r>
      <w:r w:rsidR="00FE5CF3" w:rsidRPr="005C57E8">
        <w:rPr>
          <w:rFonts w:cs="Arial"/>
          <w:szCs w:val="24"/>
        </w:rPr>
        <w:t>;</w:t>
      </w:r>
    </w:p>
    <w:p w14:paraId="66EFFA47" w14:textId="77777777" w:rsidR="00EA505A" w:rsidRPr="005C57E8" w:rsidRDefault="00EA505A" w:rsidP="00EA505A">
      <w:pPr>
        <w:pStyle w:val="ListParagraph"/>
        <w:spacing w:after="0"/>
        <w:ind w:left="284"/>
        <w:jc w:val="both"/>
        <w:rPr>
          <w:rFonts w:cs="Arial"/>
          <w:szCs w:val="24"/>
        </w:rPr>
      </w:pPr>
    </w:p>
    <w:p w14:paraId="1F616703" w14:textId="7E241A6D" w:rsidR="00736F79" w:rsidRPr="005C57E8" w:rsidRDefault="005C57E8" w:rsidP="00AA35F3">
      <w:pPr>
        <w:pStyle w:val="ListParagraph"/>
        <w:numPr>
          <w:ilvl w:val="0"/>
          <w:numId w:val="6"/>
        </w:numPr>
        <w:spacing w:after="0"/>
        <w:ind w:left="284" w:hanging="284"/>
        <w:jc w:val="both"/>
        <w:rPr>
          <w:rFonts w:cs="Arial"/>
          <w:szCs w:val="24"/>
        </w:rPr>
      </w:pPr>
      <w:r w:rsidRPr="005C57E8">
        <w:rPr>
          <w:rFonts w:cs="Arial"/>
          <w:szCs w:val="24"/>
        </w:rPr>
        <w:t>the c</w:t>
      </w:r>
      <w:r w:rsidR="006D57A9" w:rsidRPr="005C57E8">
        <w:rPr>
          <w:rFonts w:cs="Arial"/>
          <w:szCs w:val="24"/>
        </w:rPr>
        <w:t xml:space="preserve">abinet's recommendation of a council tax increase of </w:t>
      </w:r>
      <w:r w:rsidRPr="005C57E8">
        <w:rPr>
          <w:rFonts w:cs="Arial"/>
          <w:szCs w:val="24"/>
        </w:rPr>
        <w:t>3</w:t>
      </w:r>
      <w:r w:rsidR="006D57A9" w:rsidRPr="005C57E8">
        <w:rPr>
          <w:rFonts w:cs="Arial"/>
          <w:szCs w:val="24"/>
        </w:rPr>
        <w:t xml:space="preserve">.99% in </w:t>
      </w:r>
      <w:r w:rsidR="004D0BFF" w:rsidRPr="005C57E8">
        <w:rPr>
          <w:rFonts w:cs="Arial"/>
          <w:szCs w:val="24"/>
        </w:rPr>
        <w:t>201</w:t>
      </w:r>
      <w:r w:rsidRPr="005C57E8">
        <w:rPr>
          <w:rFonts w:cs="Arial"/>
          <w:szCs w:val="24"/>
        </w:rPr>
        <w:t>9/20</w:t>
      </w:r>
      <w:r w:rsidR="00FE5CF3" w:rsidRPr="005C57E8">
        <w:rPr>
          <w:rFonts w:cs="Arial"/>
          <w:szCs w:val="24"/>
        </w:rPr>
        <w:t>;</w:t>
      </w:r>
    </w:p>
    <w:p w14:paraId="76B9A32C" w14:textId="77777777" w:rsidR="00EA505A" w:rsidRPr="005C57E8" w:rsidRDefault="00EA505A" w:rsidP="00EA505A">
      <w:pPr>
        <w:pStyle w:val="ListParagraph"/>
        <w:spacing w:after="0"/>
        <w:ind w:left="284"/>
        <w:jc w:val="both"/>
        <w:rPr>
          <w:rFonts w:cs="Arial"/>
          <w:szCs w:val="24"/>
        </w:rPr>
      </w:pPr>
    </w:p>
    <w:p w14:paraId="38D2191A" w14:textId="6E240E37" w:rsidR="00EA505A" w:rsidRPr="005C57E8" w:rsidRDefault="00407446" w:rsidP="00FE5CF3">
      <w:pPr>
        <w:pStyle w:val="ListParagraph"/>
        <w:numPr>
          <w:ilvl w:val="0"/>
          <w:numId w:val="6"/>
        </w:numPr>
        <w:spacing w:after="0"/>
        <w:ind w:left="284" w:hanging="284"/>
        <w:jc w:val="both"/>
        <w:rPr>
          <w:rFonts w:cs="Arial"/>
          <w:szCs w:val="24"/>
        </w:rPr>
      </w:pPr>
      <w:r>
        <w:rPr>
          <w:rFonts w:cs="Arial"/>
          <w:szCs w:val="24"/>
        </w:rPr>
        <w:t>t</w:t>
      </w:r>
      <w:r w:rsidR="00907D24" w:rsidRPr="005C57E8">
        <w:rPr>
          <w:rFonts w:cs="Arial"/>
          <w:szCs w:val="24"/>
        </w:rPr>
        <w:t>he anticipated</w:t>
      </w:r>
      <w:r w:rsidR="003C0621" w:rsidRPr="005C57E8">
        <w:rPr>
          <w:rFonts w:cs="Arial"/>
          <w:szCs w:val="24"/>
        </w:rPr>
        <w:t xml:space="preserve"> use of one-off resources in </w:t>
      </w:r>
      <w:r w:rsidR="004D0BFF" w:rsidRPr="005C57E8">
        <w:rPr>
          <w:rFonts w:cs="Arial"/>
          <w:szCs w:val="24"/>
        </w:rPr>
        <w:t>201</w:t>
      </w:r>
      <w:r w:rsidR="005C57E8" w:rsidRPr="005C57E8">
        <w:rPr>
          <w:rFonts w:cs="Arial"/>
          <w:szCs w:val="24"/>
        </w:rPr>
        <w:t>9/20</w:t>
      </w:r>
      <w:r w:rsidR="00FE5CF3" w:rsidRPr="005C57E8">
        <w:rPr>
          <w:rFonts w:cs="Arial"/>
          <w:szCs w:val="24"/>
        </w:rPr>
        <w:t>; and</w:t>
      </w:r>
    </w:p>
    <w:p w14:paraId="13FCECFF" w14:textId="77777777" w:rsidR="00FE5CF3" w:rsidRPr="005C57E8" w:rsidRDefault="00FE5CF3" w:rsidP="00FE5CF3">
      <w:pPr>
        <w:spacing w:after="0"/>
        <w:jc w:val="both"/>
        <w:rPr>
          <w:rFonts w:cs="Arial"/>
          <w:szCs w:val="24"/>
        </w:rPr>
      </w:pPr>
    </w:p>
    <w:p w14:paraId="6F19DAF3" w14:textId="23036811" w:rsidR="00736F79" w:rsidRPr="005C57E8" w:rsidRDefault="00407446" w:rsidP="00AA35F3">
      <w:pPr>
        <w:pStyle w:val="ListParagraph"/>
        <w:numPr>
          <w:ilvl w:val="0"/>
          <w:numId w:val="6"/>
        </w:numPr>
        <w:spacing w:after="0"/>
        <w:ind w:left="284" w:hanging="284"/>
        <w:jc w:val="both"/>
        <w:rPr>
          <w:rFonts w:cs="Arial"/>
          <w:szCs w:val="24"/>
        </w:rPr>
      </w:pPr>
      <w:proofErr w:type="gramStart"/>
      <w:r>
        <w:rPr>
          <w:rFonts w:cs="Arial"/>
          <w:szCs w:val="24"/>
        </w:rPr>
        <w:t>t</w:t>
      </w:r>
      <w:r w:rsidR="00DC77B6" w:rsidRPr="005C57E8">
        <w:rPr>
          <w:rFonts w:cs="Arial"/>
          <w:szCs w:val="24"/>
        </w:rPr>
        <w:t>he</w:t>
      </w:r>
      <w:proofErr w:type="gramEnd"/>
      <w:r w:rsidR="00DC77B6" w:rsidRPr="005C57E8">
        <w:rPr>
          <w:rFonts w:cs="Arial"/>
          <w:szCs w:val="24"/>
        </w:rPr>
        <w:t xml:space="preserve"> provision of </w:t>
      </w:r>
      <w:r w:rsidR="00203550" w:rsidRPr="005C57E8">
        <w:rPr>
          <w:rFonts w:cs="Arial"/>
          <w:szCs w:val="24"/>
        </w:rPr>
        <w:t>estimated</w:t>
      </w:r>
      <w:r w:rsidR="00DC77B6" w:rsidRPr="005C57E8">
        <w:rPr>
          <w:rFonts w:cs="Arial"/>
          <w:szCs w:val="24"/>
        </w:rPr>
        <w:t xml:space="preserve"> figures by</w:t>
      </w:r>
      <w:r w:rsidR="00344586" w:rsidRPr="005C57E8">
        <w:rPr>
          <w:rFonts w:cs="Arial"/>
          <w:szCs w:val="24"/>
        </w:rPr>
        <w:t xml:space="preserve"> </w:t>
      </w:r>
      <w:r w:rsidR="00515C87">
        <w:rPr>
          <w:rFonts w:cs="Arial"/>
          <w:szCs w:val="24"/>
        </w:rPr>
        <w:t>the c</w:t>
      </w:r>
      <w:r w:rsidR="00DC77B6" w:rsidRPr="005C57E8">
        <w:rPr>
          <w:rFonts w:cs="Arial"/>
          <w:szCs w:val="24"/>
        </w:rPr>
        <w:t xml:space="preserve">ity and </w:t>
      </w:r>
      <w:r w:rsidR="00515C87">
        <w:rPr>
          <w:rFonts w:cs="Arial"/>
          <w:szCs w:val="24"/>
        </w:rPr>
        <w:t>b</w:t>
      </w:r>
      <w:r w:rsidR="00DC77B6" w:rsidRPr="005C57E8">
        <w:rPr>
          <w:rFonts w:cs="Arial"/>
          <w:szCs w:val="24"/>
        </w:rPr>
        <w:t xml:space="preserve">orough </w:t>
      </w:r>
      <w:r w:rsidR="00515C87">
        <w:rPr>
          <w:rFonts w:cs="Arial"/>
          <w:szCs w:val="24"/>
        </w:rPr>
        <w:t>councils in respect of council t</w:t>
      </w:r>
      <w:r w:rsidR="00DC77B6" w:rsidRPr="005C57E8">
        <w:rPr>
          <w:rFonts w:cs="Arial"/>
          <w:szCs w:val="24"/>
        </w:rPr>
        <w:t>ax base an</w:t>
      </w:r>
      <w:r w:rsidR="00515C87">
        <w:rPr>
          <w:rFonts w:cs="Arial"/>
          <w:szCs w:val="24"/>
        </w:rPr>
        <w:t>d business r</w:t>
      </w:r>
      <w:r w:rsidR="00DC77B6" w:rsidRPr="005C57E8">
        <w:rPr>
          <w:rFonts w:cs="Arial"/>
          <w:szCs w:val="24"/>
        </w:rPr>
        <w:t>ates income</w:t>
      </w:r>
      <w:r w:rsidR="00FE5CF3" w:rsidRPr="005C57E8">
        <w:rPr>
          <w:rFonts w:cs="Arial"/>
          <w:szCs w:val="24"/>
        </w:rPr>
        <w:t>.</w:t>
      </w:r>
    </w:p>
    <w:p w14:paraId="60B8B7B7" w14:textId="77777777" w:rsidR="00C749A3" w:rsidRDefault="00C749A3" w:rsidP="00FD1766">
      <w:pPr>
        <w:spacing w:after="0"/>
        <w:rPr>
          <w:rFonts w:cs="Arial"/>
          <w:b/>
          <w:szCs w:val="24"/>
          <w:highlight w:val="yellow"/>
          <w:u w:val="single"/>
        </w:rPr>
      </w:pPr>
    </w:p>
    <w:p w14:paraId="0427550E" w14:textId="77777777" w:rsidR="005C57E8" w:rsidRDefault="005C57E8" w:rsidP="00FD1766">
      <w:pPr>
        <w:spacing w:after="0"/>
        <w:rPr>
          <w:rFonts w:cs="Arial"/>
          <w:b/>
          <w:szCs w:val="24"/>
          <w:highlight w:val="yellow"/>
          <w:u w:val="single"/>
        </w:rPr>
      </w:pPr>
    </w:p>
    <w:p w14:paraId="22980BB2" w14:textId="77777777" w:rsidR="00741EE3" w:rsidRDefault="00741EE3" w:rsidP="00FD1766">
      <w:pPr>
        <w:spacing w:after="0"/>
        <w:rPr>
          <w:rFonts w:cs="Arial"/>
          <w:b/>
          <w:szCs w:val="24"/>
          <w:u w:val="single"/>
        </w:rPr>
      </w:pPr>
    </w:p>
    <w:p w14:paraId="3E0561C3" w14:textId="77777777" w:rsidR="00741EE3" w:rsidRDefault="00741EE3" w:rsidP="00FD1766">
      <w:pPr>
        <w:spacing w:after="0"/>
        <w:rPr>
          <w:rFonts w:cs="Arial"/>
          <w:b/>
          <w:szCs w:val="24"/>
          <w:u w:val="single"/>
        </w:rPr>
      </w:pPr>
    </w:p>
    <w:p w14:paraId="6F845539" w14:textId="77777777" w:rsidR="00741EE3" w:rsidRDefault="00741EE3" w:rsidP="00FD1766">
      <w:pPr>
        <w:spacing w:after="0"/>
        <w:rPr>
          <w:rFonts w:cs="Arial"/>
          <w:b/>
          <w:szCs w:val="24"/>
          <w:u w:val="single"/>
        </w:rPr>
      </w:pPr>
    </w:p>
    <w:p w14:paraId="42C64E50" w14:textId="77777777" w:rsidR="00741EE3" w:rsidRDefault="00741EE3" w:rsidP="00FD1766">
      <w:pPr>
        <w:spacing w:after="0"/>
        <w:rPr>
          <w:rFonts w:cs="Arial"/>
          <w:b/>
          <w:szCs w:val="24"/>
          <w:u w:val="single"/>
        </w:rPr>
      </w:pPr>
    </w:p>
    <w:p w14:paraId="4CB72E66" w14:textId="77777777" w:rsidR="00741EE3" w:rsidRDefault="00741EE3" w:rsidP="00FD1766">
      <w:pPr>
        <w:spacing w:after="0"/>
        <w:rPr>
          <w:rFonts w:cs="Arial"/>
          <w:b/>
          <w:szCs w:val="24"/>
          <w:u w:val="single"/>
        </w:rPr>
      </w:pPr>
    </w:p>
    <w:p w14:paraId="2A7BE901" w14:textId="77777777" w:rsidR="00741EE3" w:rsidRDefault="00741EE3" w:rsidP="00FD1766">
      <w:pPr>
        <w:spacing w:after="0"/>
        <w:rPr>
          <w:rFonts w:cs="Arial"/>
          <w:b/>
          <w:szCs w:val="24"/>
          <w:u w:val="single"/>
        </w:rPr>
      </w:pPr>
    </w:p>
    <w:p w14:paraId="6EA69F0E" w14:textId="77777777" w:rsidR="00741EE3" w:rsidRDefault="00741EE3" w:rsidP="00FD1766">
      <w:pPr>
        <w:spacing w:after="0"/>
        <w:rPr>
          <w:rFonts w:cs="Arial"/>
          <w:b/>
          <w:szCs w:val="24"/>
          <w:u w:val="single"/>
        </w:rPr>
      </w:pPr>
    </w:p>
    <w:p w14:paraId="0930D82C" w14:textId="77777777" w:rsidR="00741EE3" w:rsidRDefault="00741EE3" w:rsidP="00FD1766">
      <w:pPr>
        <w:spacing w:after="0"/>
        <w:rPr>
          <w:rFonts w:cs="Arial"/>
          <w:b/>
          <w:szCs w:val="24"/>
          <w:u w:val="single"/>
        </w:rPr>
      </w:pPr>
    </w:p>
    <w:p w14:paraId="31E1BBAB" w14:textId="77777777" w:rsidR="00741EE3" w:rsidRDefault="00741EE3" w:rsidP="00FD1766">
      <w:pPr>
        <w:spacing w:after="0"/>
        <w:rPr>
          <w:rFonts w:cs="Arial"/>
          <w:b/>
          <w:szCs w:val="24"/>
          <w:u w:val="single"/>
        </w:rPr>
      </w:pPr>
    </w:p>
    <w:p w14:paraId="0F3308CA" w14:textId="48FC862E" w:rsidR="004B3701" w:rsidRPr="005C2F34" w:rsidRDefault="00624D24" w:rsidP="00FD1766">
      <w:pPr>
        <w:spacing w:after="0"/>
        <w:rPr>
          <w:rFonts w:cs="Arial"/>
          <w:b/>
          <w:szCs w:val="24"/>
          <w:u w:val="single"/>
        </w:rPr>
      </w:pPr>
      <w:r w:rsidRPr="005C2F34">
        <w:rPr>
          <w:rFonts w:cs="Arial"/>
          <w:b/>
          <w:szCs w:val="24"/>
          <w:u w:val="single"/>
        </w:rPr>
        <w:t>T</w:t>
      </w:r>
      <w:r w:rsidR="00F7294A" w:rsidRPr="005C2F34">
        <w:rPr>
          <w:rFonts w:cs="Arial"/>
          <w:b/>
          <w:szCs w:val="24"/>
          <w:u w:val="single"/>
        </w:rPr>
        <w:t>able 9</w:t>
      </w:r>
    </w:p>
    <w:p w14:paraId="77B95B8C" w14:textId="77777777" w:rsidR="005C57E8" w:rsidRPr="00741EE3" w:rsidRDefault="005C57E8" w:rsidP="00FD1766">
      <w:pPr>
        <w:spacing w:after="0"/>
        <w:rPr>
          <w:rFonts w:cs="Arial"/>
          <w:b/>
          <w:szCs w:val="24"/>
          <w:highlight w:val="yellow"/>
          <w:u w:val="single"/>
        </w:rPr>
      </w:pPr>
    </w:p>
    <w:tbl>
      <w:tblPr>
        <w:tblW w:w="9560" w:type="dxa"/>
        <w:tblLook w:val="04A0" w:firstRow="1" w:lastRow="0" w:firstColumn="1" w:lastColumn="0" w:noHBand="0" w:noVBand="1"/>
      </w:tblPr>
      <w:tblGrid>
        <w:gridCol w:w="3040"/>
        <w:gridCol w:w="1300"/>
        <w:gridCol w:w="1360"/>
        <w:gridCol w:w="1288"/>
        <w:gridCol w:w="1288"/>
        <w:gridCol w:w="1284"/>
      </w:tblGrid>
      <w:tr w:rsidR="005C57E8" w:rsidRPr="00741EE3" w14:paraId="1AF65BF4" w14:textId="77777777" w:rsidTr="00E538C0">
        <w:trPr>
          <w:trHeight w:val="300"/>
        </w:trPr>
        <w:tc>
          <w:tcPr>
            <w:tcW w:w="3040" w:type="dxa"/>
            <w:tcBorders>
              <w:top w:val="single" w:sz="8" w:space="0" w:color="auto"/>
              <w:left w:val="single" w:sz="8" w:space="0" w:color="auto"/>
              <w:bottom w:val="nil"/>
              <w:right w:val="single" w:sz="8" w:space="0" w:color="auto"/>
            </w:tcBorders>
            <w:shd w:val="clear" w:color="000000" w:fill="BDD7EE"/>
            <w:hideMark/>
          </w:tcPr>
          <w:p w14:paraId="3FCE14A5"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 </w:t>
            </w:r>
          </w:p>
        </w:tc>
        <w:tc>
          <w:tcPr>
            <w:tcW w:w="1300" w:type="dxa"/>
            <w:tcBorders>
              <w:top w:val="single" w:sz="8" w:space="0" w:color="auto"/>
              <w:left w:val="nil"/>
              <w:bottom w:val="nil"/>
              <w:right w:val="single" w:sz="8" w:space="0" w:color="auto"/>
            </w:tcBorders>
            <w:shd w:val="clear" w:color="000000" w:fill="BDD7EE"/>
            <w:vAlign w:val="center"/>
            <w:hideMark/>
          </w:tcPr>
          <w:p w14:paraId="5FFADB27"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2019/20</w:t>
            </w:r>
          </w:p>
        </w:tc>
        <w:tc>
          <w:tcPr>
            <w:tcW w:w="1360" w:type="dxa"/>
            <w:tcBorders>
              <w:top w:val="single" w:sz="8" w:space="0" w:color="auto"/>
              <w:left w:val="nil"/>
              <w:bottom w:val="nil"/>
              <w:right w:val="single" w:sz="8" w:space="0" w:color="auto"/>
            </w:tcBorders>
            <w:shd w:val="clear" w:color="000000" w:fill="BDD7EE"/>
            <w:vAlign w:val="center"/>
            <w:hideMark/>
          </w:tcPr>
          <w:p w14:paraId="35B63F82"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2020/21</w:t>
            </w:r>
          </w:p>
        </w:tc>
        <w:tc>
          <w:tcPr>
            <w:tcW w:w="1288" w:type="dxa"/>
            <w:tcBorders>
              <w:top w:val="single" w:sz="8" w:space="0" w:color="auto"/>
              <w:left w:val="nil"/>
              <w:bottom w:val="nil"/>
              <w:right w:val="single" w:sz="8" w:space="0" w:color="auto"/>
            </w:tcBorders>
            <w:shd w:val="clear" w:color="000000" w:fill="BDD7EE"/>
            <w:vAlign w:val="center"/>
            <w:hideMark/>
          </w:tcPr>
          <w:p w14:paraId="2BAF3DFD"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2021/22</w:t>
            </w:r>
          </w:p>
        </w:tc>
        <w:tc>
          <w:tcPr>
            <w:tcW w:w="1288" w:type="dxa"/>
            <w:tcBorders>
              <w:top w:val="single" w:sz="8" w:space="0" w:color="auto"/>
              <w:left w:val="nil"/>
              <w:bottom w:val="nil"/>
              <w:right w:val="single" w:sz="8" w:space="0" w:color="auto"/>
            </w:tcBorders>
            <w:shd w:val="clear" w:color="000000" w:fill="BDD7EE"/>
            <w:vAlign w:val="center"/>
            <w:hideMark/>
          </w:tcPr>
          <w:p w14:paraId="7CE9CBA1"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2022/23</w:t>
            </w:r>
          </w:p>
        </w:tc>
        <w:tc>
          <w:tcPr>
            <w:tcW w:w="1284" w:type="dxa"/>
            <w:tcBorders>
              <w:top w:val="single" w:sz="8" w:space="0" w:color="auto"/>
              <w:left w:val="nil"/>
              <w:bottom w:val="nil"/>
              <w:right w:val="single" w:sz="8" w:space="0" w:color="auto"/>
            </w:tcBorders>
            <w:shd w:val="clear" w:color="000000" w:fill="BDD7EE"/>
            <w:vAlign w:val="center"/>
            <w:hideMark/>
          </w:tcPr>
          <w:p w14:paraId="3035CC96"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Total</w:t>
            </w:r>
          </w:p>
        </w:tc>
      </w:tr>
      <w:tr w:rsidR="005C57E8" w:rsidRPr="00741EE3" w14:paraId="2A4D9B89" w14:textId="77777777" w:rsidTr="00E538C0">
        <w:trPr>
          <w:trHeight w:val="315"/>
        </w:trPr>
        <w:tc>
          <w:tcPr>
            <w:tcW w:w="3040" w:type="dxa"/>
            <w:tcBorders>
              <w:top w:val="nil"/>
              <w:left w:val="single" w:sz="8" w:space="0" w:color="auto"/>
              <w:bottom w:val="single" w:sz="8" w:space="0" w:color="auto"/>
              <w:right w:val="single" w:sz="8" w:space="0" w:color="auto"/>
            </w:tcBorders>
            <w:shd w:val="clear" w:color="000000" w:fill="BDD7EE"/>
            <w:hideMark/>
          </w:tcPr>
          <w:p w14:paraId="783261B9"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 </w:t>
            </w:r>
          </w:p>
        </w:tc>
        <w:tc>
          <w:tcPr>
            <w:tcW w:w="1300" w:type="dxa"/>
            <w:tcBorders>
              <w:top w:val="nil"/>
              <w:left w:val="nil"/>
              <w:bottom w:val="single" w:sz="8" w:space="0" w:color="auto"/>
              <w:right w:val="single" w:sz="8" w:space="0" w:color="auto"/>
            </w:tcBorders>
            <w:shd w:val="clear" w:color="000000" w:fill="BDD7EE"/>
            <w:vAlign w:val="center"/>
            <w:hideMark/>
          </w:tcPr>
          <w:p w14:paraId="3FDBFE5A"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£m</w:t>
            </w:r>
          </w:p>
        </w:tc>
        <w:tc>
          <w:tcPr>
            <w:tcW w:w="1360" w:type="dxa"/>
            <w:tcBorders>
              <w:top w:val="nil"/>
              <w:left w:val="nil"/>
              <w:bottom w:val="single" w:sz="8" w:space="0" w:color="auto"/>
              <w:right w:val="single" w:sz="8" w:space="0" w:color="auto"/>
            </w:tcBorders>
            <w:shd w:val="clear" w:color="000000" w:fill="BDD7EE"/>
            <w:vAlign w:val="center"/>
            <w:hideMark/>
          </w:tcPr>
          <w:p w14:paraId="75B99E2E"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£m</w:t>
            </w:r>
          </w:p>
        </w:tc>
        <w:tc>
          <w:tcPr>
            <w:tcW w:w="1288" w:type="dxa"/>
            <w:tcBorders>
              <w:top w:val="nil"/>
              <w:left w:val="nil"/>
              <w:bottom w:val="single" w:sz="8" w:space="0" w:color="auto"/>
              <w:right w:val="single" w:sz="8" w:space="0" w:color="auto"/>
            </w:tcBorders>
            <w:shd w:val="clear" w:color="000000" w:fill="BDD7EE"/>
            <w:vAlign w:val="center"/>
            <w:hideMark/>
          </w:tcPr>
          <w:p w14:paraId="6CF64298"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£m</w:t>
            </w:r>
          </w:p>
        </w:tc>
        <w:tc>
          <w:tcPr>
            <w:tcW w:w="1288" w:type="dxa"/>
            <w:tcBorders>
              <w:top w:val="nil"/>
              <w:left w:val="nil"/>
              <w:bottom w:val="single" w:sz="8" w:space="0" w:color="auto"/>
              <w:right w:val="single" w:sz="8" w:space="0" w:color="auto"/>
            </w:tcBorders>
            <w:shd w:val="clear" w:color="000000" w:fill="BDD7EE"/>
            <w:vAlign w:val="center"/>
            <w:hideMark/>
          </w:tcPr>
          <w:p w14:paraId="3E65B309"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£m</w:t>
            </w:r>
          </w:p>
        </w:tc>
        <w:tc>
          <w:tcPr>
            <w:tcW w:w="1284" w:type="dxa"/>
            <w:tcBorders>
              <w:top w:val="nil"/>
              <w:left w:val="nil"/>
              <w:bottom w:val="single" w:sz="8" w:space="0" w:color="auto"/>
              <w:right w:val="single" w:sz="8" w:space="0" w:color="auto"/>
            </w:tcBorders>
            <w:shd w:val="clear" w:color="000000" w:fill="BDD7EE"/>
            <w:vAlign w:val="center"/>
            <w:hideMark/>
          </w:tcPr>
          <w:p w14:paraId="5E9236CF" w14:textId="77777777" w:rsidR="005C57E8" w:rsidRPr="005C2F34" w:rsidRDefault="005C57E8" w:rsidP="005C57E8">
            <w:pPr>
              <w:spacing w:after="0" w:line="240" w:lineRule="auto"/>
              <w:jc w:val="center"/>
              <w:rPr>
                <w:rFonts w:cs="Arial"/>
                <w:b/>
                <w:bCs/>
                <w:color w:val="000000"/>
                <w:szCs w:val="24"/>
                <w:lang w:eastAsia="en-GB"/>
              </w:rPr>
            </w:pPr>
            <w:r w:rsidRPr="005C2F34">
              <w:rPr>
                <w:rFonts w:cs="Arial"/>
                <w:b/>
                <w:bCs/>
                <w:color w:val="000000"/>
                <w:szCs w:val="24"/>
                <w:lang w:eastAsia="en-GB"/>
              </w:rPr>
              <w:t>£m</w:t>
            </w:r>
          </w:p>
        </w:tc>
      </w:tr>
      <w:tr w:rsidR="005C57E8" w:rsidRPr="00741EE3" w14:paraId="0D5D2496" w14:textId="77777777" w:rsidTr="00E538C0">
        <w:trPr>
          <w:trHeight w:val="615"/>
        </w:trPr>
        <w:tc>
          <w:tcPr>
            <w:tcW w:w="3040" w:type="dxa"/>
            <w:tcBorders>
              <w:top w:val="nil"/>
              <w:left w:val="single" w:sz="8" w:space="0" w:color="auto"/>
              <w:bottom w:val="single" w:sz="8" w:space="0" w:color="auto"/>
              <w:right w:val="single" w:sz="8" w:space="0" w:color="auto"/>
            </w:tcBorders>
            <w:shd w:val="clear" w:color="auto" w:fill="auto"/>
            <w:hideMark/>
          </w:tcPr>
          <w:p w14:paraId="7E54A5AA"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Forecast net budget requirement</w:t>
            </w:r>
          </w:p>
        </w:tc>
        <w:tc>
          <w:tcPr>
            <w:tcW w:w="1300" w:type="dxa"/>
            <w:tcBorders>
              <w:top w:val="nil"/>
              <w:left w:val="nil"/>
              <w:bottom w:val="single" w:sz="8" w:space="0" w:color="auto"/>
              <w:right w:val="single" w:sz="8" w:space="0" w:color="auto"/>
            </w:tcBorders>
            <w:shd w:val="clear" w:color="auto" w:fill="auto"/>
            <w:vAlign w:val="center"/>
            <w:hideMark/>
          </w:tcPr>
          <w:p w14:paraId="1064753B"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807.332</w:t>
            </w:r>
          </w:p>
        </w:tc>
        <w:tc>
          <w:tcPr>
            <w:tcW w:w="1360" w:type="dxa"/>
            <w:tcBorders>
              <w:top w:val="nil"/>
              <w:left w:val="nil"/>
              <w:bottom w:val="single" w:sz="8" w:space="0" w:color="auto"/>
              <w:right w:val="single" w:sz="8" w:space="0" w:color="auto"/>
            </w:tcBorders>
            <w:shd w:val="clear" w:color="auto" w:fill="auto"/>
            <w:vAlign w:val="center"/>
            <w:hideMark/>
          </w:tcPr>
          <w:p w14:paraId="78F1FF51"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795.111</w:t>
            </w:r>
          </w:p>
        </w:tc>
        <w:tc>
          <w:tcPr>
            <w:tcW w:w="1288" w:type="dxa"/>
            <w:tcBorders>
              <w:top w:val="nil"/>
              <w:left w:val="nil"/>
              <w:bottom w:val="single" w:sz="8" w:space="0" w:color="auto"/>
              <w:right w:val="single" w:sz="8" w:space="0" w:color="auto"/>
            </w:tcBorders>
            <w:shd w:val="clear" w:color="auto" w:fill="auto"/>
            <w:vAlign w:val="center"/>
            <w:hideMark/>
          </w:tcPr>
          <w:p w14:paraId="76DCD10A"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804.130</w:t>
            </w:r>
          </w:p>
        </w:tc>
        <w:tc>
          <w:tcPr>
            <w:tcW w:w="1288" w:type="dxa"/>
            <w:tcBorders>
              <w:top w:val="nil"/>
              <w:left w:val="nil"/>
              <w:bottom w:val="single" w:sz="8" w:space="0" w:color="auto"/>
              <w:right w:val="single" w:sz="8" w:space="0" w:color="auto"/>
            </w:tcBorders>
            <w:shd w:val="clear" w:color="auto" w:fill="auto"/>
            <w:vAlign w:val="center"/>
            <w:hideMark/>
          </w:tcPr>
          <w:p w14:paraId="104C6E56"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835.636</w:t>
            </w:r>
          </w:p>
        </w:tc>
        <w:tc>
          <w:tcPr>
            <w:tcW w:w="1284" w:type="dxa"/>
            <w:tcBorders>
              <w:top w:val="nil"/>
              <w:left w:val="nil"/>
              <w:bottom w:val="single" w:sz="8" w:space="0" w:color="auto"/>
              <w:right w:val="single" w:sz="8" w:space="0" w:color="auto"/>
            </w:tcBorders>
            <w:shd w:val="clear" w:color="auto" w:fill="auto"/>
            <w:vAlign w:val="center"/>
            <w:hideMark/>
          </w:tcPr>
          <w:p w14:paraId="5F319CE7"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3,242.208</w:t>
            </w:r>
          </w:p>
        </w:tc>
      </w:tr>
      <w:tr w:rsidR="005C57E8" w:rsidRPr="00741EE3" w14:paraId="5D496879" w14:textId="77777777" w:rsidTr="00E538C0">
        <w:trPr>
          <w:trHeight w:val="315"/>
        </w:trPr>
        <w:tc>
          <w:tcPr>
            <w:tcW w:w="3040" w:type="dxa"/>
            <w:tcBorders>
              <w:top w:val="nil"/>
              <w:left w:val="single" w:sz="8" w:space="0" w:color="auto"/>
              <w:bottom w:val="single" w:sz="8" w:space="0" w:color="auto"/>
              <w:right w:val="single" w:sz="8" w:space="0" w:color="auto"/>
            </w:tcBorders>
            <w:shd w:val="clear" w:color="auto" w:fill="auto"/>
            <w:hideMark/>
          </w:tcPr>
          <w:p w14:paraId="495139BA"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Funding</w:t>
            </w:r>
          </w:p>
        </w:tc>
        <w:tc>
          <w:tcPr>
            <w:tcW w:w="1300" w:type="dxa"/>
            <w:tcBorders>
              <w:top w:val="nil"/>
              <w:left w:val="nil"/>
              <w:bottom w:val="single" w:sz="8" w:space="0" w:color="auto"/>
              <w:right w:val="single" w:sz="8" w:space="0" w:color="auto"/>
            </w:tcBorders>
            <w:shd w:val="clear" w:color="auto" w:fill="auto"/>
            <w:vAlign w:val="center"/>
            <w:hideMark/>
          </w:tcPr>
          <w:p w14:paraId="4C2066FE"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792.722</w:t>
            </w:r>
          </w:p>
        </w:tc>
        <w:tc>
          <w:tcPr>
            <w:tcW w:w="1360" w:type="dxa"/>
            <w:tcBorders>
              <w:top w:val="nil"/>
              <w:left w:val="nil"/>
              <w:bottom w:val="single" w:sz="8" w:space="0" w:color="auto"/>
              <w:right w:val="single" w:sz="8" w:space="0" w:color="auto"/>
            </w:tcBorders>
            <w:shd w:val="clear" w:color="auto" w:fill="auto"/>
            <w:vAlign w:val="center"/>
            <w:hideMark/>
          </w:tcPr>
          <w:p w14:paraId="121BF09F"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780.931</w:t>
            </w:r>
          </w:p>
        </w:tc>
        <w:tc>
          <w:tcPr>
            <w:tcW w:w="1288" w:type="dxa"/>
            <w:tcBorders>
              <w:top w:val="nil"/>
              <w:left w:val="nil"/>
              <w:bottom w:val="single" w:sz="8" w:space="0" w:color="auto"/>
              <w:right w:val="single" w:sz="8" w:space="0" w:color="auto"/>
            </w:tcBorders>
            <w:shd w:val="clear" w:color="auto" w:fill="auto"/>
            <w:vAlign w:val="center"/>
            <w:hideMark/>
          </w:tcPr>
          <w:p w14:paraId="54EACF23"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798.502</w:t>
            </w:r>
          </w:p>
        </w:tc>
        <w:tc>
          <w:tcPr>
            <w:tcW w:w="1288" w:type="dxa"/>
            <w:tcBorders>
              <w:top w:val="nil"/>
              <w:left w:val="nil"/>
              <w:bottom w:val="single" w:sz="8" w:space="0" w:color="auto"/>
              <w:right w:val="single" w:sz="8" w:space="0" w:color="auto"/>
            </w:tcBorders>
            <w:shd w:val="clear" w:color="auto" w:fill="auto"/>
            <w:vAlign w:val="center"/>
            <w:hideMark/>
          </w:tcPr>
          <w:p w14:paraId="4F196794"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823.963</w:t>
            </w:r>
          </w:p>
        </w:tc>
        <w:tc>
          <w:tcPr>
            <w:tcW w:w="1284" w:type="dxa"/>
            <w:tcBorders>
              <w:top w:val="nil"/>
              <w:left w:val="nil"/>
              <w:bottom w:val="single" w:sz="8" w:space="0" w:color="auto"/>
              <w:right w:val="single" w:sz="8" w:space="0" w:color="auto"/>
            </w:tcBorders>
            <w:shd w:val="clear" w:color="auto" w:fill="auto"/>
            <w:vAlign w:val="center"/>
            <w:hideMark/>
          </w:tcPr>
          <w:p w14:paraId="1CA767E4"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3,196.118</w:t>
            </w:r>
          </w:p>
        </w:tc>
      </w:tr>
      <w:tr w:rsidR="005C57E8" w:rsidRPr="00741EE3" w14:paraId="3D0B42D1" w14:textId="77777777" w:rsidTr="00E538C0">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439D135" w14:textId="5AF5F9AE" w:rsidR="005C57E8" w:rsidRPr="005C2F34"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Spending Gap as reported to Cabinet</w:t>
            </w:r>
            <w:r w:rsidR="00515C87">
              <w:rPr>
                <w:rFonts w:cs="Arial"/>
                <w:b/>
                <w:bCs/>
                <w:color w:val="000000"/>
                <w:szCs w:val="24"/>
                <w:lang w:eastAsia="en-GB"/>
              </w:rPr>
              <w:t xml:space="preserve"> (Quarter 2)</w:t>
            </w:r>
          </w:p>
        </w:tc>
        <w:tc>
          <w:tcPr>
            <w:tcW w:w="1300" w:type="dxa"/>
            <w:tcBorders>
              <w:top w:val="nil"/>
              <w:left w:val="nil"/>
              <w:bottom w:val="single" w:sz="8" w:space="0" w:color="auto"/>
              <w:right w:val="single" w:sz="8" w:space="0" w:color="auto"/>
            </w:tcBorders>
            <w:shd w:val="clear" w:color="auto" w:fill="auto"/>
            <w:vAlign w:val="center"/>
            <w:hideMark/>
          </w:tcPr>
          <w:p w14:paraId="191BC3A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14.610</w:t>
            </w:r>
          </w:p>
        </w:tc>
        <w:tc>
          <w:tcPr>
            <w:tcW w:w="1360" w:type="dxa"/>
            <w:tcBorders>
              <w:top w:val="nil"/>
              <w:left w:val="nil"/>
              <w:bottom w:val="single" w:sz="8" w:space="0" w:color="auto"/>
              <w:right w:val="single" w:sz="8" w:space="0" w:color="auto"/>
            </w:tcBorders>
            <w:shd w:val="clear" w:color="auto" w:fill="auto"/>
            <w:vAlign w:val="center"/>
            <w:hideMark/>
          </w:tcPr>
          <w:p w14:paraId="592CEE79"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14.180</w:t>
            </w:r>
          </w:p>
        </w:tc>
        <w:tc>
          <w:tcPr>
            <w:tcW w:w="1288" w:type="dxa"/>
            <w:tcBorders>
              <w:top w:val="nil"/>
              <w:left w:val="nil"/>
              <w:bottom w:val="single" w:sz="8" w:space="0" w:color="auto"/>
              <w:right w:val="single" w:sz="8" w:space="0" w:color="auto"/>
            </w:tcBorders>
            <w:shd w:val="clear" w:color="auto" w:fill="auto"/>
            <w:vAlign w:val="center"/>
            <w:hideMark/>
          </w:tcPr>
          <w:p w14:paraId="2BC582E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5.628</w:t>
            </w:r>
          </w:p>
        </w:tc>
        <w:tc>
          <w:tcPr>
            <w:tcW w:w="1288" w:type="dxa"/>
            <w:tcBorders>
              <w:top w:val="nil"/>
              <w:left w:val="nil"/>
              <w:bottom w:val="single" w:sz="8" w:space="0" w:color="auto"/>
              <w:right w:val="single" w:sz="8" w:space="0" w:color="auto"/>
            </w:tcBorders>
            <w:shd w:val="clear" w:color="auto" w:fill="auto"/>
            <w:vAlign w:val="center"/>
            <w:hideMark/>
          </w:tcPr>
          <w:p w14:paraId="533AD34B"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11.673</w:t>
            </w:r>
          </w:p>
        </w:tc>
        <w:tc>
          <w:tcPr>
            <w:tcW w:w="1284" w:type="dxa"/>
            <w:tcBorders>
              <w:top w:val="nil"/>
              <w:left w:val="nil"/>
              <w:bottom w:val="single" w:sz="8" w:space="0" w:color="auto"/>
              <w:right w:val="single" w:sz="8" w:space="0" w:color="auto"/>
            </w:tcBorders>
            <w:shd w:val="clear" w:color="auto" w:fill="auto"/>
            <w:vAlign w:val="center"/>
            <w:hideMark/>
          </w:tcPr>
          <w:p w14:paraId="12C8D11F"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46.090</w:t>
            </w:r>
          </w:p>
        </w:tc>
      </w:tr>
      <w:tr w:rsidR="005C57E8" w:rsidRPr="00741EE3" w14:paraId="56318C14" w14:textId="77777777" w:rsidTr="00E538C0">
        <w:trPr>
          <w:trHeight w:val="6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740F1A5F"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Add change to forecast of spending:</w:t>
            </w:r>
          </w:p>
        </w:tc>
        <w:tc>
          <w:tcPr>
            <w:tcW w:w="1300" w:type="dxa"/>
            <w:tcBorders>
              <w:top w:val="nil"/>
              <w:left w:val="nil"/>
              <w:bottom w:val="single" w:sz="8" w:space="0" w:color="auto"/>
              <w:right w:val="single" w:sz="8" w:space="0" w:color="auto"/>
            </w:tcBorders>
            <w:shd w:val="clear" w:color="000000" w:fill="BFBFBF"/>
            <w:vAlign w:val="center"/>
            <w:hideMark/>
          </w:tcPr>
          <w:p w14:paraId="0273B589"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14:paraId="2C080889"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14:paraId="4B3C395A"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14:paraId="60710A69"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4" w:type="dxa"/>
            <w:tcBorders>
              <w:top w:val="nil"/>
              <w:left w:val="nil"/>
              <w:bottom w:val="single" w:sz="8" w:space="0" w:color="auto"/>
              <w:right w:val="single" w:sz="8" w:space="0" w:color="auto"/>
            </w:tcBorders>
            <w:shd w:val="clear" w:color="000000" w:fill="BFBFBF"/>
            <w:vAlign w:val="center"/>
            <w:hideMark/>
          </w:tcPr>
          <w:p w14:paraId="6BA93A61"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r>
      <w:tr w:rsidR="005C57E8" w:rsidRPr="00741EE3" w14:paraId="258C8FED" w14:textId="77777777" w:rsidTr="00E538C0">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5D7CA62"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Pay &amp; Pensions</w:t>
            </w:r>
          </w:p>
        </w:tc>
        <w:tc>
          <w:tcPr>
            <w:tcW w:w="1300" w:type="dxa"/>
            <w:tcBorders>
              <w:top w:val="nil"/>
              <w:left w:val="nil"/>
              <w:bottom w:val="single" w:sz="8" w:space="0" w:color="auto"/>
              <w:right w:val="single" w:sz="8" w:space="0" w:color="auto"/>
            </w:tcBorders>
            <w:shd w:val="clear" w:color="auto" w:fill="auto"/>
            <w:vAlign w:val="center"/>
            <w:hideMark/>
          </w:tcPr>
          <w:p w14:paraId="027BF9C2"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0.473</w:t>
            </w:r>
          </w:p>
        </w:tc>
        <w:tc>
          <w:tcPr>
            <w:tcW w:w="1360" w:type="dxa"/>
            <w:tcBorders>
              <w:top w:val="nil"/>
              <w:left w:val="nil"/>
              <w:bottom w:val="single" w:sz="8" w:space="0" w:color="auto"/>
              <w:right w:val="single" w:sz="8" w:space="0" w:color="auto"/>
            </w:tcBorders>
            <w:shd w:val="clear" w:color="auto" w:fill="auto"/>
            <w:vAlign w:val="center"/>
            <w:hideMark/>
          </w:tcPr>
          <w:p w14:paraId="69292705"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0.238</w:t>
            </w:r>
          </w:p>
        </w:tc>
        <w:tc>
          <w:tcPr>
            <w:tcW w:w="1288" w:type="dxa"/>
            <w:tcBorders>
              <w:top w:val="nil"/>
              <w:left w:val="nil"/>
              <w:bottom w:val="single" w:sz="8" w:space="0" w:color="auto"/>
              <w:right w:val="single" w:sz="8" w:space="0" w:color="auto"/>
            </w:tcBorders>
            <w:shd w:val="clear" w:color="auto" w:fill="auto"/>
            <w:vAlign w:val="center"/>
            <w:hideMark/>
          </w:tcPr>
          <w:p w14:paraId="6ACAD6B7"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0.044</w:t>
            </w:r>
          </w:p>
        </w:tc>
        <w:tc>
          <w:tcPr>
            <w:tcW w:w="1288" w:type="dxa"/>
            <w:tcBorders>
              <w:top w:val="nil"/>
              <w:left w:val="nil"/>
              <w:bottom w:val="single" w:sz="8" w:space="0" w:color="auto"/>
              <w:right w:val="single" w:sz="8" w:space="0" w:color="auto"/>
            </w:tcBorders>
            <w:shd w:val="clear" w:color="auto" w:fill="auto"/>
            <w:vAlign w:val="center"/>
            <w:hideMark/>
          </w:tcPr>
          <w:p w14:paraId="029C0A8B"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0.259</w:t>
            </w:r>
          </w:p>
        </w:tc>
        <w:tc>
          <w:tcPr>
            <w:tcW w:w="1284" w:type="dxa"/>
            <w:tcBorders>
              <w:top w:val="nil"/>
              <w:left w:val="nil"/>
              <w:bottom w:val="single" w:sz="8" w:space="0" w:color="auto"/>
              <w:right w:val="single" w:sz="8" w:space="0" w:color="auto"/>
            </w:tcBorders>
            <w:shd w:val="clear" w:color="auto" w:fill="auto"/>
            <w:vAlign w:val="center"/>
            <w:hideMark/>
          </w:tcPr>
          <w:p w14:paraId="374D24E1"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1.014</w:t>
            </w:r>
          </w:p>
        </w:tc>
      </w:tr>
      <w:tr w:rsidR="005C57E8" w:rsidRPr="00741EE3" w14:paraId="30C2A730" w14:textId="77777777" w:rsidTr="00E538C0">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C7A4CD1"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Inflation and Cost Changes</w:t>
            </w:r>
          </w:p>
        </w:tc>
        <w:tc>
          <w:tcPr>
            <w:tcW w:w="1300" w:type="dxa"/>
            <w:tcBorders>
              <w:top w:val="nil"/>
              <w:left w:val="nil"/>
              <w:bottom w:val="single" w:sz="8" w:space="0" w:color="auto"/>
              <w:right w:val="single" w:sz="8" w:space="0" w:color="auto"/>
            </w:tcBorders>
            <w:shd w:val="clear" w:color="auto" w:fill="auto"/>
            <w:vAlign w:val="center"/>
            <w:hideMark/>
          </w:tcPr>
          <w:p w14:paraId="1AE1BFFA"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2.968</w:t>
            </w:r>
          </w:p>
        </w:tc>
        <w:tc>
          <w:tcPr>
            <w:tcW w:w="1360" w:type="dxa"/>
            <w:tcBorders>
              <w:top w:val="nil"/>
              <w:left w:val="nil"/>
              <w:bottom w:val="single" w:sz="8" w:space="0" w:color="auto"/>
              <w:right w:val="single" w:sz="8" w:space="0" w:color="auto"/>
            </w:tcBorders>
            <w:shd w:val="clear" w:color="auto" w:fill="auto"/>
            <w:vAlign w:val="center"/>
            <w:hideMark/>
          </w:tcPr>
          <w:p w14:paraId="618E8953"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0.555</w:t>
            </w:r>
          </w:p>
        </w:tc>
        <w:tc>
          <w:tcPr>
            <w:tcW w:w="1288" w:type="dxa"/>
            <w:tcBorders>
              <w:top w:val="nil"/>
              <w:left w:val="nil"/>
              <w:bottom w:val="single" w:sz="8" w:space="0" w:color="auto"/>
              <w:right w:val="single" w:sz="8" w:space="0" w:color="auto"/>
            </w:tcBorders>
            <w:shd w:val="clear" w:color="auto" w:fill="auto"/>
            <w:vAlign w:val="center"/>
            <w:hideMark/>
          </w:tcPr>
          <w:p w14:paraId="34371523"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-0.037</w:t>
            </w:r>
          </w:p>
        </w:tc>
        <w:tc>
          <w:tcPr>
            <w:tcW w:w="1288" w:type="dxa"/>
            <w:tcBorders>
              <w:top w:val="nil"/>
              <w:left w:val="nil"/>
              <w:bottom w:val="single" w:sz="8" w:space="0" w:color="auto"/>
              <w:right w:val="single" w:sz="8" w:space="0" w:color="auto"/>
            </w:tcBorders>
            <w:shd w:val="clear" w:color="auto" w:fill="auto"/>
            <w:vAlign w:val="center"/>
            <w:hideMark/>
          </w:tcPr>
          <w:p w14:paraId="4032AD57"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0.047</w:t>
            </w:r>
          </w:p>
        </w:tc>
        <w:tc>
          <w:tcPr>
            <w:tcW w:w="1284" w:type="dxa"/>
            <w:tcBorders>
              <w:top w:val="nil"/>
              <w:left w:val="nil"/>
              <w:bottom w:val="single" w:sz="8" w:space="0" w:color="auto"/>
              <w:right w:val="single" w:sz="8" w:space="0" w:color="auto"/>
            </w:tcBorders>
            <w:shd w:val="clear" w:color="auto" w:fill="auto"/>
            <w:vAlign w:val="center"/>
            <w:hideMark/>
          </w:tcPr>
          <w:p w14:paraId="7330C356"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3.533</w:t>
            </w:r>
          </w:p>
        </w:tc>
      </w:tr>
      <w:tr w:rsidR="005C57E8" w:rsidRPr="00741EE3" w14:paraId="3496F427" w14:textId="77777777" w:rsidTr="00E538C0">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694BA79"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Service Demand and Volume Pressures</w:t>
            </w:r>
          </w:p>
        </w:tc>
        <w:tc>
          <w:tcPr>
            <w:tcW w:w="1300" w:type="dxa"/>
            <w:tcBorders>
              <w:top w:val="nil"/>
              <w:left w:val="nil"/>
              <w:bottom w:val="single" w:sz="8" w:space="0" w:color="auto"/>
              <w:right w:val="single" w:sz="8" w:space="0" w:color="auto"/>
            </w:tcBorders>
            <w:shd w:val="clear" w:color="auto" w:fill="auto"/>
            <w:vAlign w:val="center"/>
            <w:hideMark/>
          </w:tcPr>
          <w:p w14:paraId="02C28C3A"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0.329</w:t>
            </w:r>
          </w:p>
        </w:tc>
        <w:tc>
          <w:tcPr>
            <w:tcW w:w="1360" w:type="dxa"/>
            <w:tcBorders>
              <w:top w:val="nil"/>
              <w:left w:val="nil"/>
              <w:bottom w:val="single" w:sz="8" w:space="0" w:color="auto"/>
              <w:right w:val="single" w:sz="8" w:space="0" w:color="auto"/>
            </w:tcBorders>
            <w:shd w:val="clear" w:color="auto" w:fill="auto"/>
            <w:vAlign w:val="center"/>
            <w:hideMark/>
          </w:tcPr>
          <w:p w14:paraId="7C8A3F7E"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-0.684</w:t>
            </w:r>
          </w:p>
        </w:tc>
        <w:tc>
          <w:tcPr>
            <w:tcW w:w="1288" w:type="dxa"/>
            <w:tcBorders>
              <w:top w:val="nil"/>
              <w:left w:val="nil"/>
              <w:bottom w:val="single" w:sz="8" w:space="0" w:color="auto"/>
              <w:right w:val="single" w:sz="8" w:space="0" w:color="auto"/>
            </w:tcBorders>
            <w:shd w:val="clear" w:color="auto" w:fill="auto"/>
            <w:vAlign w:val="center"/>
            <w:hideMark/>
          </w:tcPr>
          <w:p w14:paraId="5EB2CE58"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-0.178</w:t>
            </w:r>
          </w:p>
        </w:tc>
        <w:tc>
          <w:tcPr>
            <w:tcW w:w="1288" w:type="dxa"/>
            <w:tcBorders>
              <w:top w:val="nil"/>
              <w:left w:val="nil"/>
              <w:bottom w:val="single" w:sz="8" w:space="0" w:color="auto"/>
              <w:right w:val="single" w:sz="8" w:space="0" w:color="auto"/>
            </w:tcBorders>
            <w:shd w:val="clear" w:color="auto" w:fill="auto"/>
            <w:vAlign w:val="center"/>
            <w:hideMark/>
          </w:tcPr>
          <w:p w14:paraId="0CA2E368"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-0.603</w:t>
            </w:r>
          </w:p>
        </w:tc>
        <w:tc>
          <w:tcPr>
            <w:tcW w:w="1284" w:type="dxa"/>
            <w:tcBorders>
              <w:top w:val="nil"/>
              <w:left w:val="nil"/>
              <w:bottom w:val="single" w:sz="8" w:space="0" w:color="auto"/>
              <w:right w:val="single" w:sz="8" w:space="0" w:color="auto"/>
            </w:tcBorders>
            <w:shd w:val="clear" w:color="auto" w:fill="auto"/>
            <w:vAlign w:val="center"/>
            <w:hideMark/>
          </w:tcPr>
          <w:p w14:paraId="5FFAD3A9"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-1.136</w:t>
            </w:r>
          </w:p>
        </w:tc>
      </w:tr>
      <w:tr w:rsidR="005C57E8" w:rsidRPr="00741EE3" w14:paraId="1C85F8A0" w14:textId="77777777" w:rsidTr="00E538C0">
        <w:trPr>
          <w:trHeight w:val="36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E215C61"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Other</w:t>
            </w:r>
          </w:p>
        </w:tc>
        <w:tc>
          <w:tcPr>
            <w:tcW w:w="1300" w:type="dxa"/>
            <w:tcBorders>
              <w:top w:val="nil"/>
              <w:left w:val="nil"/>
              <w:bottom w:val="single" w:sz="8" w:space="0" w:color="auto"/>
              <w:right w:val="single" w:sz="8" w:space="0" w:color="auto"/>
            </w:tcBorders>
            <w:shd w:val="clear" w:color="auto" w:fill="auto"/>
            <w:vAlign w:val="center"/>
            <w:hideMark/>
          </w:tcPr>
          <w:p w14:paraId="00E1B169"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0.135</w:t>
            </w:r>
          </w:p>
        </w:tc>
        <w:tc>
          <w:tcPr>
            <w:tcW w:w="1360" w:type="dxa"/>
            <w:tcBorders>
              <w:top w:val="nil"/>
              <w:left w:val="nil"/>
              <w:bottom w:val="single" w:sz="8" w:space="0" w:color="auto"/>
              <w:right w:val="single" w:sz="8" w:space="0" w:color="auto"/>
            </w:tcBorders>
            <w:shd w:val="clear" w:color="auto" w:fill="auto"/>
            <w:vAlign w:val="center"/>
            <w:hideMark/>
          </w:tcPr>
          <w:p w14:paraId="6D5FB726"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-1.958</w:t>
            </w:r>
          </w:p>
        </w:tc>
        <w:tc>
          <w:tcPr>
            <w:tcW w:w="1288" w:type="dxa"/>
            <w:tcBorders>
              <w:top w:val="nil"/>
              <w:left w:val="nil"/>
              <w:bottom w:val="single" w:sz="8" w:space="0" w:color="auto"/>
              <w:right w:val="single" w:sz="8" w:space="0" w:color="auto"/>
            </w:tcBorders>
            <w:shd w:val="clear" w:color="auto" w:fill="auto"/>
            <w:vAlign w:val="center"/>
            <w:hideMark/>
          </w:tcPr>
          <w:p w14:paraId="0C021AE1"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14:paraId="47CDE24F"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14:paraId="406FCFDC"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-1.823</w:t>
            </w:r>
          </w:p>
        </w:tc>
      </w:tr>
      <w:tr w:rsidR="005C57E8" w:rsidRPr="00741EE3" w14:paraId="28FB50DC" w14:textId="77777777" w:rsidTr="00E538C0">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A9FD376" w14:textId="77777777" w:rsidR="005C57E8" w:rsidRPr="005C2F34" w:rsidRDefault="005C57E8" w:rsidP="005C57E8">
            <w:pPr>
              <w:spacing w:after="0" w:line="240" w:lineRule="auto"/>
              <w:rPr>
                <w:rFonts w:cs="Arial"/>
                <w:szCs w:val="24"/>
                <w:lang w:eastAsia="en-GB"/>
              </w:rPr>
            </w:pPr>
            <w:r w:rsidRPr="005C2F34">
              <w:rPr>
                <w:rFonts w:cs="Arial"/>
                <w:szCs w:val="24"/>
                <w:lang w:eastAsia="en-GB"/>
              </w:rPr>
              <w:t>Savings Adjustments</w:t>
            </w:r>
          </w:p>
        </w:tc>
        <w:tc>
          <w:tcPr>
            <w:tcW w:w="1300" w:type="dxa"/>
            <w:tcBorders>
              <w:top w:val="nil"/>
              <w:left w:val="nil"/>
              <w:bottom w:val="single" w:sz="8" w:space="0" w:color="auto"/>
              <w:right w:val="single" w:sz="8" w:space="0" w:color="auto"/>
            </w:tcBorders>
            <w:shd w:val="clear" w:color="auto" w:fill="auto"/>
            <w:vAlign w:val="center"/>
            <w:hideMark/>
          </w:tcPr>
          <w:p w14:paraId="40803EB1"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0.357</w:t>
            </w:r>
          </w:p>
        </w:tc>
        <w:tc>
          <w:tcPr>
            <w:tcW w:w="1360" w:type="dxa"/>
            <w:tcBorders>
              <w:top w:val="nil"/>
              <w:left w:val="nil"/>
              <w:bottom w:val="single" w:sz="8" w:space="0" w:color="auto"/>
              <w:right w:val="single" w:sz="8" w:space="0" w:color="auto"/>
            </w:tcBorders>
            <w:shd w:val="clear" w:color="auto" w:fill="auto"/>
            <w:vAlign w:val="center"/>
            <w:hideMark/>
          </w:tcPr>
          <w:p w14:paraId="12F1EA90"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-0.320</w:t>
            </w:r>
          </w:p>
        </w:tc>
        <w:tc>
          <w:tcPr>
            <w:tcW w:w="1288" w:type="dxa"/>
            <w:tcBorders>
              <w:top w:val="nil"/>
              <w:left w:val="nil"/>
              <w:bottom w:val="single" w:sz="8" w:space="0" w:color="auto"/>
              <w:right w:val="single" w:sz="8" w:space="0" w:color="auto"/>
            </w:tcBorders>
            <w:shd w:val="clear" w:color="auto" w:fill="auto"/>
            <w:vAlign w:val="center"/>
            <w:hideMark/>
          </w:tcPr>
          <w:p w14:paraId="65C05D1E"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14:paraId="1FC13AB1"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14:paraId="52F55644"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0.037</w:t>
            </w:r>
          </w:p>
        </w:tc>
      </w:tr>
      <w:tr w:rsidR="005C57E8" w:rsidRPr="00741EE3" w14:paraId="563EE024" w14:textId="77777777" w:rsidTr="00E538C0">
        <w:trPr>
          <w:trHeight w:val="630"/>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4C59DFD0" w14:textId="77777777" w:rsidR="005C57E8" w:rsidRPr="005C2F34"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Total Change to Forecast of Spending</w:t>
            </w:r>
          </w:p>
        </w:tc>
        <w:tc>
          <w:tcPr>
            <w:tcW w:w="1300" w:type="dxa"/>
            <w:tcBorders>
              <w:top w:val="nil"/>
              <w:left w:val="nil"/>
              <w:bottom w:val="single" w:sz="8" w:space="0" w:color="auto"/>
              <w:right w:val="single" w:sz="8" w:space="0" w:color="auto"/>
            </w:tcBorders>
            <w:shd w:val="clear" w:color="000000" w:fill="D9D9D9"/>
            <w:vAlign w:val="center"/>
            <w:hideMark/>
          </w:tcPr>
          <w:p w14:paraId="2EEC0AE0"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4.262</w:t>
            </w:r>
          </w:p>
        </w:tc>
        <w:tc>
          <w:tcPr>
            <w:tcW w:w="1360" w:type="dxa"/>
            <w:tcBorders>
              <w:top w:val="nil"/>
              <w:left w:val="nil"/>
              <w:bottom w:val="single" w:sz="8" w:space="0" w:color="auto"/>
              <w:right w:val="single" w:sz="8" w:space="0" w:color="auto"/>
            </w:tcBorders>
            <w:shd w:val="clear" w:color="000000" w:fill="D9D9D9"/>
            <w:vAlign w:val="center"/>
            <w:hideMark/>
          </w:tcPr>
          <w:p w14:paraId="306A04D3"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-2.169</w:t>
            </w:r>
          </w:p>
        </w:tc>
        <w:tc>
          <w:tcPr>
            <w:tcW w:w="1288" w:type="dxa"/>
            <w:tcBorders>
              <w:top w:val="nil"/>
              <w:left w:val="nil"/>
              <w:bottom w:val="single" w:sz="8" w:space="0" w:color="auto"/>
              <w:right w:val="single" w:sz="8" w:space="0" w:color="auto"/>
            </w:tcBorders>
            <w:shd w:val="clear" w:color="000000" w:fill="D9D9D9"/>
            <w:vAlign w:val="center"/>
            <w:hideMark/>
          </w:tcPr>
          <w:p w14:paraId="6E47D72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-0.171</w:t>
            </w:r>
          </w:p>
        </w:tc>
        <w:tc>
          <w:tcPr>
            <w:tcW w:w="1288" w:type="dxa"/>
            <w:tcBorders>
              <w:top w:val="nil"/>
              <w:left w:val="nil"/>
              <w:bottom w:val="single" w:sz="8" w:space="0" w:color="auto"/>
              <w:right w:val="single" w:sz="8" w:space="0" w:color="auto"/>
            </w:tcBorders>
            <w:shd w:val="clear" w:color="000000" w:fill="D9D9D9"/>
            <w:vAlign w:val="center"/>
            <w:hideMark/>
          </w:tcPr>
          <w:p w14:paraId="5515344D"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-0.297</w:t>
            </w:r>
          </w:p>
        </w:tc>
        <w:tc>
          <w:tcPr>
            <w:tcW w:w="1284" w:type="dxa"/>
            <w:tcBorders>
              <w:top w:val="nil"/>
              <w:left w:val="nil"/>
              <w:bottom w:val="single" w:sz="8" w:space="0" w:color="auto"/>
              <w:right w:val="single" w:sz="8" w:space="0" w:color="auto"/>
            </w:tcBorders>
            <w:shd w:val="clear" w:color="000000" w:fill="D9D9D9"/>
            <w:vAlign w:val="center"/>
            <w:hideMark/>
          </w:tcPr>
          <w:p w14:paraId="29845F0B"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1.625</w:t>
            </w:r>
          </w:p>
        </w:tc>
      </w:tr>
      <w:tr w:rsidR="005C57E8" w:rsidRPr="00741EE3" w14:paraId="51EE03C4" w14:textId="77777777" w:rsidTr="00E538C0">
        <w:trPr>
          <w:trHeight w:val="45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529B94B" w14:textId="77777777" w:rsidR="005C57E8" w:rsidRPr="005C2F34"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14:paraId="6CB64185"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14:paraId="26FC6BE7"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14:paraId="3CC435A4"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14:paraId="4E4A9B4F"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4" w:type="dxa"/>
            <w:tcBorders>
              <w:top w:val="nil"/>
              <w:left w:val="nil"/>
              <w:bottom w:val="single" w:sz="8" w:space="0" w:color="auto"/>
              <w:right w:val="single" w:sz="8" w:space="0" w:color="auto"/>
            </w:tcBorders>
            <w:shd w:val="clear" w:color="auto" w:fill="auto"/>
            <w:vAlign w:val="center"/>
            <w:hideMark/>
          </w:tcPr>
          <w:p w14:paraId="1F351186"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r>
      <w:tr w:rsidR="005C57E8" w:rsidRPr="00741EE3" w14:paraId="2A0D59B2" w14:textId="77777777" w:rsidTr="00E538C0">
        <w:trPr>
          <w:trHeight w:val="480"/>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331357FC"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Change to forecast of resources:</w:t>
            </w:r>
          </w:p>
        </w:tc>
        <w:tc>
          <w:tcPr>
            <w:tcW w:w="1300" w:type="dxa"/>
            <w:tcBorders>
              <w:top w:val="nil"/>
              <w:left w:val="nil"/>
              <w:bottom w:val="single" w:sz="8" w:space="0" w:color="auto"/>
              <w:right w:val="single" w:sz="8" w:space="0" w:color="auto"/>
            </w:tcBorders>
            <w:shd w:val="clear" w:color="000000" w:fill="BFBFBF"/>
            <w:vAlign w:val="center"/>
            <w:hideMark/>
          </w:tcPr>
          <w:p w14:paraId="082339F7"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14:paraId="4A735CEC"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14:paraId="46C0994F"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14:paraId="65C641CA"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c>
          <w:tcPr>
            <w:tcW w:w="1284" w:type="dxa"/>
            <w:tcBorders>
              <w:top w:val="nil"/>
              <w:left w:val="nil"/>
              <w:bottom w:val="single" w:sz="8" w:space="0" w:color="auto"/>
              <w:right w:val="single" w:sz="8" w:space="0" w:color="auto"/>
            </w:tcBorders>
            <w:shd w:val="clear" w:color="000000" w:fill="BFBFBF"/>
            <w:vAlign w:val="center"/>
            <w:hideMark/>
          </w:tcPr>
          <w:p w14:paraId="01D6D746"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 </w:t>
            </w:r>
          </w:p>
        </w:tc>
      </w:tr>
      <w:tr w:rsidR="005C57E8" w:rsidRPr="00741EE3" w14:paraId="495A9C8F" w14:textId="77777777" w:rsidTr="00E538C0">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D36BD28"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Funding</w:t>
            </w:r>
          </w:p>
        </w:tc>
        <w:tc>
          <w:tcPr>
            <w:tcW w:w="1300" w:type="dxa"/>
            <w:tcBorders>
              <w:top w:val="nil"/>
              <w:left w:val="nil"/>
              <w:bottom w:val="single" w:sz="8" w:space="0" w:color="auto"/>
              <w:right w:val="single" w:sz="8" w:space="0" w:color="auto"/>
            </w:tcBorders>
            <w:shd w:val="clear" w:color="auto" w:fill="auto"/>
            <w:vAlign w:val="center"/>
            <w:hideMark/>
          </w:tcPr>
          <w:p w14:paraId="1803A0EB"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-5.426</w:t>
            </w:r>
          </w:p>
        </w:tc>
        <w:tc>
          <w:tcPr>
            <w:tcW w:w="1360" w:type="dxa"/>
            <w:tcBorders>
              <w:top w:val="nil"/>
              <w:left w:val="nil"/>
              <w:bottom w:val="single" w:sz="8" w:space="0" w:color="auto"/>
              <w:right w:val="single" w:sz="8" w:space="0" w:color="auto"/>
            </w:tcBorders>
            <w:shd w:val="clear" w:color="auto" w:fill="auto"/>
            <w:vAlign w:val="center"/>
            <w:hideMark/>
          </w:tcPr>
          <w:p w14:paraId="5E4114BC"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4.919</w:t>
            </w:r>
          </w:p>
        </w:tc>
        <w:tc>
          <w:tcPr>
            <w:tcW w:w="1288" w:type="dxa"/>
            <w:tcBorders>
              <w:top w:val="nil"/>
              <w:left w:val="nil"/>
              <w:bottom w:val="single" w:sz="8" w:space="0" w:color="auto"/>
              <w:right w:val="single" w:sz="8" w:space="0" w:color="auto"/>
            </w:tcBorders>
            <w:shd w:val="clear" w:color="auto" w:fill="auto"/>
            <w:vAlign w:val="center"/>
            <w:hideMark/>
          </w:tcPr>
          <w:p w14:paraId="01C56770"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14:paraId="0D1DDFD3" w14:textId="77777777" w:rsidR="005C57E8" w:rsidRPr="005C2F34" w:rsidRDefault="005C57E8" w:rsidP="005C57E8">
            <w:pPr>
              <w:spacing w:after="0" w:line="240" w:lineRule="auto"/>
              <w:jc w:val="right"/>
              <w:rPr>
                <w:rFonts w:cs="Arial"/>
                <w:color w:val="000000"/>
                <w:szCs w:val="24"/>
                <w:lang w:eastAsia="en-GB"/>
              </w:rPr>
            </w:pPr>
            <w:r w:rsidRPr="005C2F34">
              <w:rPr>
                <w:rFonts w:cs="Arial"/>
                <w:color w:val="000000"/>
                <w:szCs w:val="24"/>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14:paraId="4E20549B"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-0.507</w:t>
            </w:r>
          </w:p>
        </w:tc>
      </w:tr>
      <w:tr w:rsidR="005C57E8" w:rsidRPr="00741EE3" w14:paraId="64B1CF83" w14:textId="77777777" w:rsidTr="00E538C0">
        <w:trPr>
          <w:trHeight w:val="6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3434F7D6" w14:textId="77777777" w:rsidR="005C57E8" w:rsidRPr="005C2F34"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Total Change to Forecast of Resources</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6F14971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-5.426</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14:paraId="03F46E93"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4.919</w:t>
            </w:r>
          </w:p>
        </w:tc>
        <w:tc>
          <w:tcPr>
            <w:tcW w:w="1288" w:type="dxa"/>
            <w:tcBorders>
              <w:top w:val="single" w:sz="8" w:space="0" w:color="auto"/>
              <w:left w:val="nil"/>
              <w:bottom w:val="single" w:sz="8" w:space="0" w:color="auto"/>
              <w:right w:val="single" w:sz="8" w:space="0" w:color="auto"/>
            </w:tcBorders>
            <w:shd w:val="clear" w:color="000000" w:fill="D9D9D9"/>
            <w:vAlign w:val="center"/>
            <w:hideMark/>
          </w:tcPr>
          <w:p w14:paraId="5342B99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0.000</w:t>
            </w:r>
          </w:p>
        </w:tc>
        <w:tc>
          <w:tcPr>
            <w:tcW w:w="1288" w:type="dxa"/>
            <w:tcBorders>
              <w:top w:val="single" w:sz="8" w:space="0" w:color="auto"/>
              <w:left w:val="nil"/>
              <w:bottom w:val="single" w:sz="8" w:space="0" w:color="auto"/>
              <w:right w:val="single" w:sz="8" w:space="0" w:color="auto"/>
            </w:tcBorders>
            <w:shd w:val="clear" w:color="000000" w:fill="D9D9D9"/>
            <w:vAlign w:val="center"/>
            <w:hideMark/>
          </w:tcPr>
          <w:p w14:paraId="41D5EA69"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0.000</w:t>
            </w:r>
          </w:p>
        </w:tc>
        <w:tc>
          <w:tcPr>
            <w:tcW w:w="1284" w:type="dxa"/>
            <w:tcBorders>
              <w:top w:val="nil"/>
              <w:left w:val="nil"/>
              <w:bottom w:val="single" w:sz="8" w:space="0" w:color="auto"/>
              <w:right w:val="single" w:sz="8" w:space="0" w:color="auto"/>
            </w:tcBorders>
            <w:shd w:val="clear" w:color="000000" w:fill="D9D9D9"/>
            <w:vAlign w:val="center"/>
            <w:hideMark/>
          </w:tcPr>
          <w:p w14:paraId="468E85DA"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-0.507</w:t>
            </w:r>
          </w:p>
        </w:tc>
      </w:tr>
      <w:tr w:rsidR="005C57E8" w:rsidRPr="00741EE3" w14:paraId="70BFBED5" w14:textId="77777777" w:rsidTr="00E538C0">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472D432" w14:textId="77777777" w:rsidR="005C57E8" w:rsidRPr="005C2F34" w:rsidRDefault="005C57E8" w:rsidP="005C57E8">
            <w:pPr>
              <w:spacing w:after="0" w:line="240" w:lineRule="auto"/>
              <w:rPr>
                <w:rFonts w:cs="Arial"/>
                <w:color w:val="000000"/>
                <w:szCs w:val="24"/>
                <w:lang w:eastAsia="en-GB"/>
              </w:rPr>
            </w:pPr>
            <w:r w:rsidRPr="005C2F34">
              <w:rPr>
                <w:rFonts w:cs="Arial"/>
                <w:color w:val="000000"/>
                <w:szCs w:val="24"/>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14:paraId="14434275"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14:paraId="7359302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14:paraId="3F9879F1"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14:paraId="578AFA7A"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c>
          <w:tcPr>
            <w:tcW w:w="1284" w:type="dxa"/>
            <w:tcBorders>
              <w:top w:val="nil"/>
              <w:left w:val="nil"/>
              <w:bottom w:val="single" w:sz="8" w:space="0" w:color="auto"/>
              <w:right w:val="single" w:sz="8" w:space="0" w:color="auto"/>
            </w:tcBorders>
            <w:shd w:val="clear" w:color="auto" w:fill="auto"/>
            <w:vAlign w:val="center"/>
            <w:hideMark/>
          </w:tcPr>
          <w:p w14:paraId="09B7F1B1"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 </w:t>
            </w:r>
          </w:p>
        </w:tc>
      </w:tr>
      <w:tr w:rsidR="005C57E8" w:rsidRPr="00741EE3" w14:paraId="7CA3AB06" w14:textId="77777777" w:rsidTr="005C57E8">
        <w:trPr>
          <w:trHeight w:val="375"/>
        </w:trPr>
        <w:tc>
          <w:tcPr>
            <w:tcW w:w="3040" w:type="dxa"/>
            <w:tcBorders>
              <w:top w:val="nil"/>
              <w:left w:val="single" w:sz="8" w:space="0" w:color="auto"/>
              <w:bottom w:val="single" w:sz="4" w:space="0" w:color="auto"/>
              <w:right w:val="single" w:sz="8" w:space="0" w:color="auto"/>
            </w:tcBorders>
            <w:shd w:val="clear" w:color="000000" w:fill="BFBFBF"/>
            <w:vAlign w:val="center"/>
            <w:hideMark/>
          </w:tcPr>
          <w:p w14:paraId="5C0EB4A0" w14:textId="77777777" w:rsidR="00515C87"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Revised Funding Gap reported to Cabinet 7</w:t>
            </w:r>
            <w:r w:rsidRPr="005C2F34">
              <w:rPr>
                <w:rFonts w:cs="Arial"/>
                <w:b/>
                <w:bCs/>
                <w:color w:val="000000"/>
                <w:szCs w:val="24"/>
                <w:vertAlign w:val="superscript"/>
                <w:lang w:eastAsia="en-GB"/>
              </w:rPr>
              <w:t>th</w:t>
            </w:r>
            <w:r w:rsidRPr="005C2F34">
              <w:rPr>
                <w:rFonts w:cs="Arial"/>
                <w:b/>
                <w:bCs/>
                <w:color w:val="000000"/>
                <w:szCs w:val="24"/>
                <w:lang w:eastAsia="en-GB"/>
              </w:rPr>
              <w:t xml:space="preserve"> February 2019</w:t>
            </w:r>
          </w:p>
          <w:p w14:paraId="0708DFAD" w14:textId="3B344BBF" w:rsidR="005C57E8" w:rsidRPr="005C2F34" w:rsidRDefault="00515C87" w:rsidP="005C57E8">
            <w:pPr>
              <w:spacing w:after="0" w:line="240" w:lineRule="auto"/>
              <w:rPr>
                <w:rFonts w:cs="Arial"/>
                <w:b/>
                <w:bCs/>
                <w:color w:val="000000"/>
                <w:szCs w:val="24"/>
                <w:lang w:eastAsia="en-GB"/>
              </w:rPr>
            </w:pPr>
            <w:r>
              <w:rPr>
                <w:rFonts w:cs="Arial"/>
                <w:b/>
                <w:bCs/>
                <w:color w:val="000000"/>
                <w:szCs w:val="24"/>
                <w:lang w:eastAsia="en-GB"/>
              </w:rPr>
              <w:t>(Quarter 3)</w:t>
            </w:r>
          </w:p>
        </w:tc>
        <w:tc>
          <w:tcPr>
            <w:tcW w:w="1300" w:type="dxa"/>
            <w:tcBorders>
              <w:top w:val="nil"/>
              <w:left w:val="nil"/>
              <w:bottom w:val="single" w:sz="4" w:space="0" w:color="auto"/>
              <w:right w:val="single" w:sz="8" w:space="0" w:color="auto"/>
            </w:tcBorders>
            <w:shd w:val="clear" w:color="000000" w:fill="D9D9D9"/>
            <w:vAlign w:val="center"/>
            <w:hideMark/>
          </w:tcPr>
          <w:p w14:paraId="7A79B1B5"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13.446</w:t>
            </w:r>
          </w:p>
        </w:tc>
        <w:tc>
          <w:tcPr>
            <w:tcW w:w="1360" w:type="dxa"/>
            <w:tcBorders>
              <w:top w:val="nil"/>
              <w:left w:val="nil"/>
              <w:bottom w:val="single" w:sz="4" w:space="0" w:color="auto"/>
              <w:right w:val="single" w:sz="8" w:space="0" w:color="auto"/>
            </w:tcBorders>
            <w:shd w:val="clear" w:color="000000" w:fill="D9D9D9"/>
            <w:vAlign w:val="center"/>
            <w:hideMark/>
          </w:tcPr>
          <w:p w14:paraId="29A35FFF"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16.930</w:t>
            </w:r>
          </w:p>
        </w:tc>
        <w:tc>
          <w:tcPr>
            <w:tcW w:w="1288" w:type="dxa"/>
            <w:tcBorders>
              <w:top w:val="nil"/>
              <w:left w:val="nil"/>
              <w:bottom w:val="single" w:sz="4" w:space="0" w:color="auto"/>
              <w:right w:val="single" w:sz="8" w:space="0" w:color="auto"/>
            </w:tcBorders>
            <w:shd w:val="clear" w:color="000000" w:fill="D9D9D9"/>
            <w:vAlign w:val="center"/>
            <w:hideMark/>
          </w:tcPr>
          <w:p w14:paraId="7BA67B32"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5.457</w:t>
            </w:r>
          </w:p>
        </w:tc>
        <w:tc>
          <w:tcPr>
            <w:tcW w:w="1288" w:type="dxa"/>
            <w:tcBorders>
              <w:top w:val="nil"/>
              <w:left w:val="nil"/>
              <w:bottom w:val="single" w:sz="4" w:space="0" w:color="auto"/>
              <w:right w:val="single" w:sz="8" w:space="0" w:color="auto"/>
            </w:tcBorders>
            <w:shd w:val="clear" w:color="000000" w:fill="D9D9D9"/>
            <w:vAlign w:val="center"/>
            <w:hideMark/>
          </w:tcPr>
          <w:p w14:paraId="3CD12AE5"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11.376</w:t>
            </w:r>
          </w:p>
        </w:tc>
        <w:tc>
          <w:tcPr>
            <w:tcW w:w="1284" w:type="dxa"/>
            <w:tcBorders>
              <w:top w:val="nil"/>
              <w:left w:val="nil"/>
              <w:bottom w:val="single" w:sz="4" w:space="0" w:color="auto"/>
              <w:right w:val="single" w:sz="8" w:space="0" w:color="auto"/>
            </w:tcBorders>
            <w:shd w:val="clear" w:color="000000" w:fill="D9D9D9"/>
            <w:vAlign w:val="center"/>
            <w:hideMark/>
          </w:tcPr>
          <w:p w14:paraId="3F67653D" w14:textId="77777777" w:rsidR="005C57E8" w:rsidRPr="005C2F34" w:rsidRDefault="005C57E8" w:rsidP="005C57E8">
            <w:pPr>
              <w:spacing w:after="0" w:line="240" w:lineRule="auto"/>
              <w:jc w:val="right"/>
              <w:rPr>
                <w:rFonts w:cs="Arial"/>
                <w:b/>
                <w:bCs/>
                <w:color w:val="000000"/>
                <w:szCs w:val="24"/>
                <w:lang w:eastAsia="en-GB"/>
              </w:rPr>
            </w:pPr>
            <w:r w:rsidRPr="005C2F34">
              <w:rPr>
                <w:rFonts w:cs="Arial"/>
                <w:b/>
                <w:bCs/>
                <w:color w:val="000000"/>
                <w:szCs w:val="24"/>
                <w:lang w:eastAsia="en-GB"/>
              </w:rPr>
              <w:t>47.209</w:t>
            </w:r>
          </w:p>
        </w:tc>
      </w:tr>
      <w:tr w:rsidR="005C57E8" w:rsidRPr="005C2F34" w14:paraId="0DF79AFF" w14:textId="77777777" w:rsidTr="005C57E8">
        <w:trPr>
          <w:trHeight w:val="375"/>
        </w:trPr>
        <w:tc>
          <w:tcPr>
            <w:tcW w:w="3040" w:type="dxa"/>
            <w:tcBorders>
              <w:top w:val="single" w:sz="4" w:space="0" w:color="auto"/>
              <w:left w:val="single" w:sz="8" w:space="0" w:color="auto"/>
              <w:bottom w:val="single" w:sz="8" w:space="0" w:color="auto"/>
              <w:right w:val="single" w:sz="8" w:space="0" w:color="auto"/>
            </w:tcBorders>
            <w:shd w:val="clear" w:color="auto" w:fill="auto"/>
            <w:vAlign w:val="center"/>
          </w:tcPr>
          <w:p w14:paraId="1FD48FAB" w14:textId="77777777" w:rsidR="005C57E8" w:rsidRPr="005C2F34" w:rsidRDefault="005C57E8" w:rsidP="005C57E8">
            <w:pPr>
              <w:spacing w:after="0" w:line="240" w:lineRule="auto"/>
              <w:rPr>
                <w:rFonts w:cs="Arial"/>
                <w:b/>
                <w:bCs/>
                <w:color w:val="000000"/>
                <w:szCs w:val="24"/>
                <w:lang w:eastAsia="en-GB"/>
              </w:rPr>
            </w:pPr>
          </w:p>
        </w:tc>
        <w:tc>
          <w:tcPr>
            <w:tcW w:w="1300" w:type="dxa"/>
            <w:tcBorders>
              <w:top w:val="single" w:sz="4" w:space="0" w:color="auto"/>
              <w:left w:val="nil"/>
              <w:bottom w:val="single" w:sz="8" w:space="0" w:color="auto"/>
              <w:right w:val="single" w:sz="8" w:space="0" w:color="auto"/>
            </w:tcBorders>
            <w:shd w:val="clear" w:color="auto" w:fill="auto"/>
            <w:vAlign w:val="center"/>
          </w:tcPr>
          <w:p w14:paraId="3898489F" w14:textId="77777777" w:rsidR="005C57E8" w:rsidRPr="005C2F34" w:rsidRDefault="005C57E8" w:rsidP="005C57E8">
            <w:pPr>
              <w:spacing w:after="0" w:line="240" w:lineRule="auto"/>
              <w:jc w:val="right"/>
              <w:rPr>
                <w:rFonts w:cs="Arial"/>
                <w:b/>
                <w:bCs/>
                <w:color w:val="000000"/>
                <w:szCs w:val="24"/>
                <w:lang w:eastAsia="en-GB"/>
              </w:rPr>
            </w:pPr>
          </w:p>
        </w:tc>
        <w:tc>
          <w:tcPr>
            <w:tcW w:w="1360" w:type="dxa"/>
            <w:tcBorders>
              <w:top w:val="single" w:sz="4" w:space="0" w:color="auto"/>
              <w:left w:val="nil"/>
              <w:bottom w:val="single" w:sz="8" w:space="0" w:color="auto"/>
              <w:right w:val="single" w:sz="8" w:space="0" w:color="auto"/>
            </w:tcBorders>
            <w:shd w:val="clear" w:color="auto" w:fill="auto"/>
            <w:vAlign w:val="center"/>
          </w:tcPr>
          <w:p w14:paraId="4526C9C3" w14:textId="77777777" w:rsidR="005C57E8" w:rsidRPr="005C2F34" w:rsidRDefault="005C57E8" w:rsidP="005C57E8">
            <w:pPr>
              <w:spacing w:after="0" w:line="240" w:lineRule="auto"/>
              <w:jc w:val="right"/>
              <w:rPr>
                <w:rFonts w:cs="Arial"/>
                <w:b/>
                <w:bCs/>
                <w:color w:val="000000"/>
                <w:szCs w:val="24"/>
                <w:lang w:eastAsia="en-GB"/>
              </w:rPr>
            </w:pPr>
          </w:p>
        </w:tc>
        <w:tc>
          <w:tcPr>
            <w:tcW w:w="1288" w:type="dxa"/>
            <w:tcBorders>
              <w:top w:val="single" w:sz="4" w:space="0" w:color="auto"/>
              <w:left w:val="nil"/>
              <w:bottom w:val="single" w:sz="8" w:space="0" w:color="auto"/>
              <w:right w:val="single" w:sz="8" w:space="0" w:color="auto"/>
            </w:tcBorders>
            <w:shd w:val="clear" w:color="auto" w:fill="auto"/>
            <w:vAlign w:val="center"/>
          </w:tcPr>
          <w:p w14:paraId="7C171B0C" w14:textId="77777777" w:rsidR="005C57E8" w:rsidRPr="005C2F34" w:rsidRDefault="005C57E8" w:rsidP="005C57E8">
            <w:pPr>
              <w:spacing w:after="0" w:line="240" w:lineRule="auto"/>
              <w:jc w:val="right"/>
              <w:rPr>
                <w:rFonts w:cs="Arial"/>
                <w:b/>
                <w:bCs/>
                <w:color w:val="000000"/>
                <w:szCs w:val="24"/>
                <w:lang w:eastAsia="en-GB"/>
              </w:rPr>
            </w:pPr>
          </w:p>
        </w:tc>
        <w:tc>
          <w:tcPr>
            <w:tcW w:w="1288" w:type="dxa"/>
            <w:tcBorders>
              <w:top w:val="single" w:sz="4" w:space="0" w:color="auto"/>
              <w:left w:val="nil"/>
              <w:bottom w:val="single" w:sz="8" w:space="0" w:color="auto"/>
              <w:right w:val="single" w:sz="8" w:space="0" w:color="auto"/>
            </w:tcBorders>
            <w:shd w:val="clear" w:color="auto" w:fill="auto"/>
            <w:vAlign w:val="center"/>
          </w:tcPr>
          <w:p w14:paraId="1D759A11" w14:textId="77777777" w:rsidR="005C57E8" w:rsidRPr="005C2F34" w:rsidRDefault="005C57E8" w:rsidP="005C57E8">
            <w:pPr>
              <w:spacing w:after="0" w:line="240" w:lineRule="auto"/>
              <w:jc w:val="right"/>
              <w:rPr>
                <w:rFonts w:cs="Arial"/>
                <w:b/>
                <w:bCs/>
                <w:color w:val="000000"/>
                <w:szCs w:val="24"/>
                <w:lang w:eastAsia="en-GB"/>
              </w:rPr>
            </w:pPr>
          </w:p>
        </w:tc>
        <w:tc>
          <w:tcPr>
            <w:tcW w:w="1284" w:type="dxa"/>
            <w:tcBorders>
              <w:top w:val="single" w:sz="4" w:space="0" w:color="auto"/>
              <w:left w:val="nil"/>
              <w:bottom w:val="single" w:sz="8" w:space="0" w:color="auto"/>
              <w:right w:val="single" w:sz="8" w:space="0" w:color="auto"/>
            </w:tcBorders>
            <w:shd w:val="clear" w:color="auto" w:fill="auto"/>
            <w:vAlign w:val="center"/>
          </w:tcPr>
          <w:p w14:paraId="43A437A5" w14:textId="77777777" w:rsidR="005C57E8" w:rsidRPr="005C2F34" w:rsidRDefault="005C57E8" w:rsidP="005C57E8">
            <w:pPr>
              <w:spacing w:after="0" w:line="240" w:lineRule="auto"/>
              <w:jc w:val="right"/>
              <w:rPr>
                <w:rFonts w:cs="Arial"/>
                <w:b/>
                <w:bCs/>
                <w:color w:val="000000"/>
                <w:szCs w:val="24"/>
                <w:lang w:eastAsia="en-GB"/>
              </w:rPr>
            </w:pPr>
          </w:p>
        </w:tc>
      </w:tr>
      <w:tr w:rsidR="005C57E8" w:rsidRPr="005C2F34" w14:paraId="3F52108A" w14:textId="77777777" w:rsidTr="005C57E8">
        <w:trPr>
          <w:trHeight w:val="375"/>
        </w:trPr>
        <w:tc>
          <w:tcPr>
            <w:tcW w:w="3040" w:type="dxa"/>
            <w:tcBorders>
              <w:top w:val="nil"/>
              <w:left w:val="single" w:sz="8" w:space="0" w:color="auto"/>
              <w:bottom w:val="single" w:sz="8" w:space="0" w:color="auto"/>
              <w:right w:val="single" w:sz="8" w:space="0" w:color="auto"/>
            </w:tcBorders>
            <w:shd w:val="clear" w:color="auto" w:fill="auto"/>
            <w:vAlign w:val="center"/>
          </w:tcPr>
          <w:p w14:paraId="59855D5B" w14:textId="3113D9B1" w:rsidR="005C57E8" w:rsidRPr="005C2F34" w:rsidRDefault="00F75D23" w:rsidP="005C57E8">
            <w:pPr>
              <w:spacing w:after="0" w:line="240" w:lineRule="auto"/>
              <w:rPr>
                <w:rFonts w:cs="Arial"/>
                <w:bCs/>
                <w:color w:val="000000"/>
                <w:szCs w:val="24"/>
                <w:lang w:eastAsia="en-GB"/>
              </w:rPr>
            </w:pPr>
            <w:r>
              <w:rPr>
                <w:rFonts w:cs="Arial"/>
                <w:bCs/>
                <w:color w:val="000000"/>
                <w:szCs w:val="24"/>
                <w:lang w:eastAsia="en-GB"/>
              </w:rPr>
              <w:t>Funding Update</w:t>
            </w:r>
          </w:p>
        </w:tc>
        <w:tc>
          <w:tcPr>
            <w:tcW w:w="1300" w:type="dxa"/>
            <w:tcBorders>
              <w:top w:val="nil"/>
              <w:left w:val="nil"/>
              <w:bottom w:val="single" w:sz="8" w:space="0" w:color="auto"/>
              <w:right w:val="single" w:sz="8" w:space="0" w:color="auto"/>
            </w:tcBorders>
            <w:shd w:val="clear" w:color="auto" w:fill="auto"/>
            <w:vAlign w:val="center"/>
          </w:tcPr>
          <w:p w14:paraId="6C5B44FF" w14:textId="5260FD89" w:rsidR="005C57E8" w:rsidRPr="00515C87" w:rsidRDefault="00F75D23" w:rsidP="005C57E8">
            <w:pPr>
              <w:spacing w:after="0" w:line="240" w:lineRule="auto"/>
              <w:jc w:val="right"/>
              <w:rPr>
                <w:rFonts w:cs="Arial"/>
                <w:bCs/>
                <w:color w:val="000000"/>
                <w:szCs w:val="24"/>
                <w:lang w:eastAsia="en-GB"/>
              </w:rPr>
            </w:pPr>
            <w:r w:rsidRPr="00515C87">
              <w:rPr>
                <w:rFonts w:cs="Arial"/>
                <w:bCs/>
                <w:color w:val="000000"/>
                <w:szCs w:val="24"/>
                <w:lang w:eastAsia="en-GB"/>
              </w:rPr>
              <w:t>-4.129</w:t>
            </w:r>
          </w:p>
        </w:tc>
        <w:tc>
          <w:tcPr>
            <w:tcW w:w="1360" w:type="dxa"/>
            <w:tcBorders>
              <w:top w:val="nil"/>
              <w:left w:val="nil"/>
              <w:bottom w:val="single" w:sz="8" w:space="0" w:color="auto"/>
              <w:right w:val="single" w:sz="8" w:space="0" w:color="auto"/>
            </w:tcBorders>
            <w:shd w:val="clear" w:color="auto" w:fill="auto"/>
            <w:vAlign w:val="center"/>
          </w:tcPr>
          <w:p w14:paraId="0472DBC8" w14:textId="5F3F39BD" w:rsidR="005C57E8"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4.123</w:t>
            </w:r>
          </w:p>
        </w:tc>
        <w:tc>
          <w:tcPr>
            <w:tcW w:w="1288" w:type="dxa"/>
            <w:tcBorders>
              <w:top w:val="nil"/>
              <w:left w:val="nil"/>
              <w:bottom w:val="single" w:sz="8" w:space="0" w:color="auto"/>
              <w:right w:val="single" w:sz="8" w:space="0" w:color="auto"/>
            </w:tcBorders>
            <w:shd w:val="clear" w:color="auto" w:fill="auto"/>
            <w:vAlign w:val="center"/>
          </w:tcPr>
          <w:p w14:paraId="456645EC" w14:textId="64CDF773" w:rsidR="005C57E8"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0.061</w:t>
            </w:r>
          </w:p>
        </w:tc>
        <w:tc>
          <w:tcPr>
            <w:tcW w:w="1288" w:type="dxa"/>
            <w:tcBorders>
              <w:top w:val="nil"/>
              <w:left w:val="nil"/>
              <w:bottom w:val="single" w:sz="8" w:space="0" w:color="auto"/>
              <w:right w:val="single" w:sz="8" w:space="0" w:color="auto"/>
            </w:tcBorders>
            <w:shd w:val="clear" w:color="auto" w:fill="auto"/>
            <w:vAlign w:val="center"/>
          </w:tcPr>
          <w:p w14:paraId="7F954666" w14:textId="4C9AE1B3" w:rsidR="005C57E8"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0.062</w:t>
            </w:r>
          </w:p>
        </w:tc>
        <w:tc>
          <w:tcPr>
            <w:tcW w:w="1284" w:type="dxa"/>
            <w:tcBorders>
              <w:top w:val="nil"/>
              <w:left w:val="nil"/>
              <w:bottom w:val="single" w:sz="8" w:space="0" w:color="auto"/>
              <w:right w:val="single" w:sz="8" w:space="0" w:color="auto"/>
            </w:tcBorders>
            <w:shd w:val="clear" w:color="auto" w:fill="auto"/>
            <w:vAlign w:val="center"/>
          </w:tcPr>
          <w:p w14:paraId="1CBAA4D4" w14:textId="7563A24F" w:rsidR="005C57E8" w:rsidRPr="005C2F34" w:rsidRDefault="00F75D23" w:rsidP="005C57E8">
            <w:pPr>
              <w:spacing w:after="0" w:line="240" w:lineRule="auto"/>
              <w:jc w:val="right"/>
              <w:rPr>
                <w:rFonts w:cs="Arial"/>
                <w:b/>
                <w:bCs/>
                <w:color w:val="000000"/>
                <w:szCs w:val="24"/>
                <w:lang w:eastAsia="en-GB"/>
              </w:rPr>
            </w:pPr>
            <w:r>
              <w:rPr>
                <w:rFonts w:cs="Arial"/>
                <w:b/>
                <w:bCs/>
                <w:color w:val="000000"/>
                <w:szCs w:val="24"/>
                <w:lang w:eastAsia="en-GB"/>
              </w:rPr>
              <w:t>0.117</w:t>
            </w:r>
          </w:p>
        </w:tc>
      </w:tr>
      <w:tr w:rsidR="005C2F34" w:rsidRPr="005C2F34" w14:paraId="6950415A" w14:textId="77777777" w:rsidTr="005C57E8">
        <w:trPr>
          <w:trHeight w:val="375"/>
        </w:trPr>
        <w:tc>
          <w:tcPr>
            <w:tcW w:w="3040" w:type="dxa"/>
            <w:tcBorders>
              <w:top w:val="nil"/>
              <w:left w:val="single" w:sz="8" w:space="0" w:color="auto"/>
              <w:bottom w:val="single" w:sz="8" w:space="0" w:color="auto"/>
              <w:right w:val="single" w:sz="8" w:space="0" w:color="auto"/>
            </w:tcBorders>
            <w:shd w:val="clear" w:color="auto" w:fill="auto"/>
            <w:vAlign w:val="center"/>
          </w:tcPr>
          <w:p w14:paraId="2D8AA523" w14:textId="46E80870" w:rsidR="005C2F34" w:rsidRPr="005C2F34" w:rsidRDefault="005C2F34" w:rsidP="005C57E8">
            <w:pPr>
              <w:spacing w:after="0" w:line="240" w:lineRule="auto"/>
              <w:rPr>
                <w:rFonts w:cs="Arial"/>
                <w:bCs/>
                <w:color w:val="000000"/>
                <w:szCs w:val="24"/>
                <w:lang w:eastAsia="en-GB"/>
              </w:rPr>
            </w:pPr>
            <w:r w:rsidRPr="005C2F34">
              <w:rPr>
                <w:rFonts w:cs="Arial"/>
                <w:bCs/>
                <w:color w:val="000000"/>
                <w:szCs w:val="24"/>
                <w:lang w:eastAsia="en-GB"/>
              </w:rPr>
              <w:t>Expenditure Update</w:t>
            </w:r>
          </w:p>
        </w:tc>
        <w:tc>
          <w:tcPr>
            <w:tcW w:w="1300" w:type="dxa"/>
            <w:tcBorders>
              <w:top w:val="nil"/>
              <w:left w:val="nil"/>
              <w:bottom w:val="single" w:sz="8" w:space="0" w:color="auto"/>
              <w:right w:val="single" w:sz="8" w:space="0" w:color="auto"/>
            </w:tcBorders>
            <w:shd w:val="clear" w:color="auto" w:fill="auto"/>
            <w:vAlign w:val="center"/>
          </w:tcPr>
          <w:p w14:paraId="3AEE0270" w14:textId="38777A91" w:rsidR="005C2F34" w:rsidRPr="00515C87" w:rsidRDefault="00F75D23" w:rsidP="005C57E8">
            <w:pPr>
              <w:spacing w:after="0" w:line="240" w:lineRule="auto"/>
              <w:jc w:val="right"/>
              <w:rPr>
                <w:rFonts w:cs="Arial"/>
                <w:bCs/>
                <w:color w:val="000000"/>
                <w:szCs w:val="24"/>
                <w:lang w:eastAsia="en-GB"/>
              </w:rPr>
            </w:pPr>
            <w:r w:rsidRPr="00515C87">
              <w:rPr>
                <w:rFonts w:cs="Arial"/>
                <w:bCs/>
                <w:color w:val="000000"/>
                <w:szCs w:val="24"/>
                <w:lang w:eastAsia="en-GB"/>
              </w:rPr>
              <w:t>0.928</w:t>
            </w:r>
          </w:p>
        </w:tc>
        <w:tc>
          <w:tcPr>
            <w:tcW w:w="1360" w:type="dxa"/>
            <w:tcBorders>
              <w:top w:val="nil"/>
              <w:left w:val="nil"/>
              <w:bottom w:val="single" w:sz="8" w:space="0" w:color="auto"/>
              <w:right w:val="single" w:sz="8" w:space="0" w:color="auto"/>
            </w:tcBorders>
            <w:shd w:val="clear" w:color="auto" w:fill="auto"/>
            <w:vAlign w:val="center"/>
          </w:tcPr>
          <w:p w14:paraId="57E04A8B" w14:textId="1D98F87F" w:rsidR="005C2F34"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-0.928</w:t>
            </w:r>
          </w:p>
        </w:tc>
        <w:tc>
          <w:tcPr>
            <w:tcW w:w="1288" w:type="dxa"/>
            <w:tcBorders>
              <w:top w:val="nil"/>
              <w:left w:val="nil"/>
              <w:bottom w:val="single" w:sz="8" w:space="0" w:color="auto"/>
              <w:right w:val="single" w:sz="8" w:space="0" w:color="auto"/>
            </w:tcBorders>
            <w:shd w:val="clear" w:color="auto" w:fill="auto"/>
            <w:vAlign w:val="center"/>
          </w:tcPr>
          <w:p w14:paraId="529897C1" w14:textId="1081F1BD" w:rsidR="005C2F34"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0.000</w:t>
            </w:r>
          </w:p>
        </w:tc>
        <w:tc>
          <w:tcPr>
            <w:tcW w:w="1288" w:type="dxa"/>
            <w:tcBorders>
              <w:top w:val="nil"/>
              <w:left w:val="nil"/>
              <w:bottom w:val="single" w:sz="8" w:space="0" w:color="auto"/>
              <w:right w:val="single" w:sz="8" w:space="0" w:color="auto"/>
            </w:tcBorders>
            <w:shd w:val="clear" w:color="auto" w:fill="auto"/>
            <w:vAlign w:val="center"/>
          </w:tcPr>
          <w:p w14:paraId="4302981C" w14:textId="64238BB7" w:rsidR="005C2F34" w:rsidRPr="00515C87" w:rsidRDefault="005C2F34" w:rsidP="005C57E8">
            <w:pPr>
              <w:spacing w:after="0" w:line="240" w:lineRule="auto"/>
              <w:jc w:val="right"/>
              <w:rPr>
                <w:rFonts w:cs="Arial"/>
                <w:bCs/>
                <w:color w:val="000000"/>
                <w:szCs w:val="24"/>
                <w:lang w:eastAsia="en-GB"/>
              </w:rPr>
            </w:pPr>
            <w:r w:rsidRPr="00515C87">
              <w:rPr>
                <w:rFonts w:cs="Arial"/>
                <w:bCs/>
                <w:color w:val="000000"/>
                <w:szCs w:val="24"/>
                <w:lang w:eastAsia="en-GB"/>
              </w:rPr>
              <w:t>0.000</w:t>
            </w:r>
          </w:p>
        </w:tc>
        <w:tc>
          <w:tcPr>
            <w:tcW w:w="1284" w:type="dxa"/>
            <w:tcBorders>
              <w:top w:val="nil"/>
              <w:left w:val="nil"/>
              <w:bottom w:val="single" w:sz="8" w:space="0" w:color="auto"/>
              <w:right w:val="single" w:sz="8" w:space="0" w:color="auto"/>
            </w:tcBorders>
            <w:shd w:val="clear" w:color="auto" w:fill="auto"/>
            <w:vAlign w:val="center"/>
          </w:tcPr>
          <w:p w14:paraId="55925192" w14:textId="26BD67D4" w:rsidR="005C2F34" w:rsidRPr="005C2F34" w:rsidRDefault="00F75D23" w:rsidP="005C57E8">
            <w:pPr>
              <w:spacing w:after="0" w:line="240" w:lineRule="auto"/>
              <w:jc w:val="right"/>
              <w:rPr>
                <w:rFonts w:cs="Arial"/>
                <w:b/>
                <w:bCs/>
                <w:color w:val="000000"/>
                <w:szCs w:val="24"/>
                <w:lang w:eastAsia="en-GB"/>
              </w:rPr>
            </w:pPr>
            <w:r>
              <w:rPr>
                <w:rFonts w:cs="Arial"/>
                <w:b/>
                <w:bCs/>
                <w:color w:val="000000"/>
                <w:szCs w:val="24"/>
                <w:lang w:eastAsia="en-GB"/>
              </w:rPr>
              <w:t>0.000</w:t>
            </w:r>
          </w:p>
        </w:tc>
      </w:tr>
      <w:tr w:rsidR="005C57E8" w:rsidRPr="005C2F34" w14:paraId="1D533C9D" w14:textId="77777777" w:rsidTr="005C57E8">
        <w:trPr>
          <w:trHeight w:val="375"/>
        </w:trPr>
        <w:tc>
          <w:tcPr>
            <w:tcW w:w="3040" w:type="dxa"/>
            <w:tcBorders>
              <w:top w:val="nil"/>
              <w:left w:val="single" w:sz="8" w:space="0" w:color="auto"/>
              <w:bottom w:val="single" w:sz="8" w:space="0" w:color="auto"/>
              <w:right w:val="single" w:sz="8" w:space="0" w:color="auto"/>
            </w:tcBorders>
            <w:shd w:val="clear" w:color="auto" w:fill="auto"/>
            <w:vAlign w:val="center"/>
          </w:tcPr>
          <w:p w14:paraId="73C6DC7F" w14:textId="77777777" w:rsidR="005C57E8" w:rsidRPr="005C2F34" w:rsidRDefault="005C57E8" w:rsidP="005C57E8">
            <w:pPr>
              <w:spacing w:after="0" w:line="240" w:lineRule="auto"/>
              <w:rPr>
                <w:rFonts w:cs="Arial"/>
                <w:b/>
                <w:bCs/>
                <w:color w:val="000000"/>
                <w:szCs w:val="24"/>
                <w:lang w:eastAsia="en-GB"/>
              </w:rPr>
            </w:pPr>
          </w:p>
        </w:tc>
        <w:tc>
          <w:tcPr>
            <w:tcW w:w="1300" w:type="dxa"/>
            <w:tcBorders>
              <w:top w:val="nil"/>
              <w:left w:val="nil"/>
              <w:bottom w:val="single" w:sz="8" w:space="0" w:color="auto"/>
              <w:right w:val="single" w:sz="8" w:space="0" w:color="auto"/>
            </w:tcBorders>
            <w:shd w:val="clear" w:color="auto" w:fill="auto"/>
            <w:vAlign w:val="center"/>
          </w:tcPr>
          <w:p w14:paraId="2F05ECB3" w14:textId="77777777" w:rsidR="005C57E8" w:rsidRPr="005C2F34" w:rsidRDefault="005C57E8" w:rsidP="005C57E8">
            <w:pPr>
              <w:spacing w:after="0" w:line="240" w:lineRule="auto"/>
              <w:jc w:val="right"/>
              <w:rPr>
                <w:rFonts w:cs="Arial"/>
                <w:b/>
                <w:bCs/>
                <w:color w:val="000000"/>
                <w:szCs w:val="24"/>
                <w:lang w:eastAsia="en-GB"/>
              </w:rPr>
            </w:pPr>
          </w:p>
        </w:tc>
        <w:tc>
          <w:tcPr>
            <w:tcW w:w="1360" w:type="dxa"/>
            <w:tcBorders>
              <w:top w:val="nil"/>
              <w:left w:val="nil"/>
              <w:bottom w:val="single" w:sz="8" w:space="0" w:color="auto"/>
              <w:right w:val="single" w:sz="8" w:space="0" w:color="auto"/>
            </w:tcBorders>
            <w:shd w:val="clear" w:color="auto" w:fill="auto"/>
            <w:vAlign w:val="center"/>
          </w:tcPr>
          <w:p w14:paraId="11564C8C" w14:textId="77777777" w:rsidR="005C57E8" w:rsidRPr="005C2F34" w:rsidRDefault="005C57E8" w:rsidP="005C57E8">
            <w:pPr>
              <w:spacing w:after="0" w:line="240" w:lineRule="auto"/>
              <w:jc w:val="right"/>
              <w:rPr>
                <w:rFonts w:cs="Arial"/>
                <w:b/>
                <w:bCs/>
                <w:color w:val="000000"/>
                <w:szCs w:val="24"/>
                <w:lang w:eastAsia="en-GB"/>
              </w:rPr>
            </w:pPr>
          </w:p>
        </w:tc>
        <w:tc>
          <w:tcPr>
            <w:tcW w:w="1288" w:type="dxa"/>
            <w:tcBorders>
              <w:top w:val="nil"/>
              <w:left w:val="nil"/>
              <w:bottom w:val="single" w:sz="8" w:space="0" w:color="auto"/>
              <w:right w:val="single" w:sz="8" w:space="0" w:color="auto"/>
            </w:tcBorders>
            <w:shd w:val="clear" w:color="auto" w:fill="auto"/>
            <w:vAlign w:val="center"/>
          </w:tcPr>
          <w:p w14:paraId="36C34F35" w14:textId="77777777" w:rsidR="005C57E8" w:rsidRPr="005C2F34" w:rsidRDefault="005C57E8" w:rsidP="005C57E8">
            <w:pPr>
              <w:spacing w:after="0" w:line="240" w:lineRule="auto"/>
              <w:jc w:val="right"/>
              <w:rPr>
                <w:rFonts w:cs="Arial"/>
                <w:b/>
                <w:bCs/>
                <w:color w:val="000000"/>
                <w:szCs w:val="24"/>
                <w:lang w:eastAsia="en-GB"/>
              </w:rPr>
            </w:pPr>
          </w:p>
        </w:tc>
        <w:tc>
          <w:tcPr>
            <w:tcW w:w="1288" w:type="dxa"/>
            <w:tcBorders>
              <w:top w:val="nil"/>
              <w:left w:val="nil"/>
              <w:bottom w:val="single" w:sz="8" w:space="0" w:color="auto"/>
              <w:right w:val="single" w:sz="8" w:space="0" w:color="auto"/>
            </w:tcBorders>
            <w:shd w:val="clear" w:color="auto" w:fill="auto"/>
            <w:vAlign w:val="center"/>
          </w:tcPr>
          <w:p w14:paraId="7DC26E81" w14:textId="77777777" w:rsidR="005C57E8" w:rsidRPr="005C2F34" w:rsidRDefault="005C57E8" w:rsidP="005C57E8">
            <w:pPr>
              <w:spacing w:after="0" w:line="240" w:lineRule="auto"/>
              <w:jc w:val="right"/>
              <w:rPr>
                <w:rFonts w:cs="Arial"/>
                <w:b/>
                <w:bCs/>
                <w:color w:val="000000"/>
                <w:szCs w:val="24"/>
                <w:lang w:eastAsia="en-GB"/>
              </w:rPr>
            </w:pPr>
          </w:p>
        </w:tc>
        <w:tc>
          <w:tcPr>
            <w:tcW w:w="1284" w:type="dxa"/>
            <w:tcBorders>
              <w:top w:val="nil"/>
              <w:left w:val="nil"/>
              <w:bottom w:val="single" w:sz="8" w:space="0" w:color="auto"/>
              <w:right w:val="single" w:sz="8" w:space="0" w:color="auto"/>
            </w:tcBorders>
            <w:shd w:val="clear" w:color="auto" w:fill="auto"/>
            <w:vAlign w:val="center"/>
          </w:tcPr>
          <w:p w14:paraId="27164B4B" w14:textId="77777777" w:rsidR="005C57E8" w:rsidRPr="005C2F34" w:rsidRDefault="005C57E8" w:rsidP="005C57E8">
            <w:pPr>
              <w:spacing w:after="0" w:line="240" w:lineRule="auto"/>
              <w:jc w:val="right"/>
              <w:rPr>
                <w:rFonts w:cs="Arial"/>
                <w:b/>
                <w:bCs/>
                <w:color w:val="000000"/>
                <w:szCs w:val="24"/>
                <w:lang w:eastAsia="en-GB"/>
              </w:rPr>
            </w:pPr>
          </w:p>
        </w:tc>
      </w:tr>
      <w:tr w:rsidR="005C57E8" w:rsidRPr="005C57E8" w14:paraId="6CD9235D" w14:textId="77777777" w:rsidTr="00E538C0">
        <w:trPr>
          <w:trHeight w:val="375"/>
        </w:trPr>
        <w:tc>
          <w:tcPr>
            <w:tcW w:w="3040" w:type="dxa"/>
            <w:tcBorders>
              <w:top w:val="nil"/>
              <w:left w:val="single" w:sz="8" w:space="0" w:color="auto"/>
              <w:bottom w:val="single" w:sz="4" w:space="0" w:color="auto"/>
              <w:right w:val="single" w:sz="8" w:space="0" w:color="auto"/>
            </w:tcBorders>
            <w:shd w:val="clear" w:color="000000" w:fill="BFBFBF"/>
            <w:vAlign w:val="center"/>
            <w:hideMark/>
          </w:tcPr>
          <w:p w14:paraId="1F37F4FA" w14:textId="440380F3" w:rsidR="005C57E8" w:rsidRPr="005C2F34" w:rsidRDefault="005C57E8" w:rsidP="005C57E8">
            <w:pPr>
              <w:spacing w:after="0" w:line="240" w:lineRule="auto"/>
              <w:rPr>
                <w:rFonts w:cs="Arial"/>
                <w:b/>
                <w:bCs/>
                <w:color w:val="000000"/>
                <w:szCs w:val="24"/>
                <w:lang w:eastAsia="en-GB"/>
              </w:rPr>
            </w:pPr>
            <w:r w:rsidRPr="005C2F34">
              <w:rPr>
                <w:rFonts w:cs="Arial"/>
                <w:b/>
                <w:bCs/>
                <w:color w:val="000000"/>
                <w:szCs w:val="24"/>
                <w:lang w:eastAsia="en-GB"/>
              </w:rPr>
              <w:t xml:space="preserve">Revised Funding Gap </w:t>
            </w:r>
          </w:p>
        </w:tc>
        <w:tc>
          <w:tcPr>
            <w:tcW w:w="1300" w:type="dxa"/>
            <w:tcBorders>
              <w:top w:val="nil"/>
              <w:left w:val="nil"/>
              <w:bottom w:val="single" w:sz="4" w:space="0" w:color="auto"/>
              <w:right w:val="single" w:sz="8" w:space="0" w:color="auto"/>
            </w:tcBorders>
            <w:shd w:val="clear" w:color="000000" w:fill="D9D9D9"/>
            <w:vAlign w:val="center"/>
            <w:hideMark/>
          </w:tcPr>
          <w:p w14:paraId="40BDE7EC" w14:textId="4CA11FD6" w:rsidR="005C57E8" w:rsidRPr="005C2F34" w:rsidRDefault="005C2F34" w:rsidP="00E538C0">
            <w:pPr>
              <w:spacing w:after="0" w:line="240" w:lineRule="auto"/>
              <w:jc w:val="right"/>
              <w:rPr>
                <w:rFonts w:cs="Arial"/>
                <w:b/>
                <w:bCs/>
                <w:color w:val="000000"/>
                <w:szCs w:val="24"/>
                <w:lang w:eastAsia="en-GB"/>
              </w:rPr>
            </w:pPr>
            <w:r>
              <w:rPr>
                <w:rFonts w:cs="Arial"/>
                <w:b/>
                <w:bCs/>
                <w:color w:val="000000"/>
                <w:szCs w:val="24"/>
                <w:lang w:eastAsia="en-GB"/>
              </w:rPr>
              <w:t>10.245</w:t>
            </w:r>
          </w:p>
        </w:tc>
        <w:tc>
          <w:tcPr>
            <w:tcW w:w="1360" w:type="dxa"/>
            <w:tcBorders>
              <w:top w:val="nil"/>
              <w:left w:val="nil"/>
              <w:bottom w:val="single" w:sz="4" w:space="0" w:color="auto"/>
              <w:right w:val="single" w:sz="8" w:space="0" w:color="auto"/>
            </w:tcBorders>
            <w:shd w:val="clear" w:color="000000" w:fill="D9D9D9"/>
            <w:vAlign w:val="center"/>
            <w:hideMark/>
          </w:tcPr>
          <w:p w14:paraId="50771F0D" w14:textId="669AE634" w:rsidR="005C57E8" w:rsidRPr="005C2F34" w:rsidRDefault="005C2F34" w:rsidP="00E538C0">
            <w:pPr>
              <w:spacing w:after="0" w:line="240" w:lineRule="auto"/>
              <w:jc w:val="right"/>
              <w:rPr>
                <w:rFonts w:cs="Arial"/>
                <w:b/>
                <w:bCs/>
                <w:color w:val="000000"/>
                <w:szCs w:val="24"/>
                <w:lang w:eastAsia="en-GB"/>
              </w:rPr>
            </w:pPr>
            <w:r>
              <w:rPr>
                <w:rFonts w:cs="Arial"/>
                <w:b/>
                <w:bCs/>
                <w:color w:val="000000"/>
                <w:szCs w:val="24"/>
                <w:lang w:eastAsia="en-GB"/>
              </w:rPr>
              <w:t>20.125</w:t>
            </w:r>
          </w:p>
        </w:tc>
        <w:tc>
          <w:tcPr>
            <w:tcW w:w="1288" w:type="dxa"/>
            <w:tcBorders>
              <w:top w:val="nil"/>
              <w:left w:val="nil"/>
              <w:bottom w:val="single" w:sz="4" w:space="0" w:color="auto"/>
              <w:right w:val="single" w:sz="8" w:space="0" w:color="auto"/>
            </w:tcBorders>
            <w:shd w:val="clear" w:color="000000" w:fill="D9D9D9"/>
            <w:vAlign w:val="center"/>
            <w:hideMark/>
          </w:tcPr>
          <w:p w14:paraId="04EF1928" w14:textId="07B4DE60" w:rsidR="005C57E8" w:rsidRPr="005C2F34" w:rsidRDefault="005C2F34" w:rsidP="00E538C0">
            <w:pPr>
              <w:spacing w:after="0" w:line="240" w:lineRule="auto"/>
              <w:jc w:val="right"/>
              <w:rPr>
                <w:rFonts w:cs="Arial"/>
                <w:b/>
                <w:bCs/>
                <w:color w:val="000000"/>
                <w:szCs w:val="24"/>
                <w:lang w:eastAsia="en-GB"/>
              </w:rPr>
            </w:pPr>
            <w:r>
              <w:rPr>
                <w:rFonts w:cs="Arial"/>
                <w:b/>
                <w:bCs/>
                <w:color w:val="000000"/>
                <w:szCs w:val="24"/>
                <w:lang w:eastAsia="en-GB"/>
              </w:rPr>
              <w:t>5.518</w:t>
            </w:r>
          </w:p>
        </w:tc>
        <w:tc>
          <w:tcPr>
            <w:tcW w:w="1288" w:type="dxa"/>
            <w:tcBorders>
              <w:top w:val="nil"/>
              <w:left w:val="nil"/>
              <w:bottom w:val="single" w:sz="4" w:space="0" w:color="auto"/>
              <w:right w:val="single" w:sz="8" w:space="0" w:color="auto"/>
            </w:tcBorders>
            <w:shd w:val="clear" w:color="000000" w:fill="D9D9D9"/>
            <w:vAlign w:val="center"/>
            <w:hideMark/>
          </w:tcPr>
          <w:p w14:paraId="63A4C86E" w14:textId="31DB2653" w:rsidR="005C57E8" w:rsidRPr="005C2F34" w:rsidRDefault="005C2F34" w:rsidP="00E538C0">
            <w:pPr>
              <w:spacing w:after="0" w:line="240" w:lineRule="auto"/>
              <w:jc w:val="right"/>
              <w:rPr>
                <w:rFonts w:cs="Arial"/>
                <w:b/>
                <w:bCs/>
                <w:color w:val="000000"/>
                <w:szCs w:val="24"/>
                <w:lang w:eastAsia="en-GB"/>
              </w:rPr>
            </w:pPr>
            <w:r>
              <w:rPr>
                <w:rFonts w:cs="Arial"/>
                <w:b/>
                <w:bCs/>
                <w:color w:val="000000"/>
                <w:szCs w:val="24"/>
                <w:lang w:eastAsia="en-GB"/>
              </w:rPr>
              <w:t>11.438</w:t>
            </w:r>
          </w:p>
        </w:tc>
        <w:tc>
          <w:tcPr>
            <w:tcW w:w="1284" w:type="dxa"/>
            <w:tcBorders>
              <w:top w:val="nil"/>
              <w:left w:val="nil"/>
              <w:bottom w:val="single" w:sz="4" w:space="0" w:color="auto"/>
              <w:right w:val="single" w:sz="8" w:space="0" w:color="auto"/>
            </w:tcBorders>
            <w:shd w:val="clear" w:color="000000" w:fill="D9D9D9"/>
            <w:vAlign w:val="center"/>
            <w:hideMark/>
          </w:tcPr>
          <w:p w14:paraId="43AA06F1" w14:textId="12602CFF" w:rsidR="005C57E8" w:rsidRPr="005C2F34" w:rsidRDefault="005C57E8" w:rsidP="005C2F34">
            <w:pPr>
              <w:spacing w:after="0" w:line="240" w:lineRule="auto"/>
              <w:jc w:val="right"/>
              <w:rPr>
                <w:rFonts w:cs="Arial"/>
                <w:b/>
                <w:bCs/>
                <w:color w:val="000000"/>
                <w:szCs w:val="24"/>
                <w:lang w:eastAsia="en-GB"/>
              </w:rPr>
            </w:pPr>
            <w:r w:rsidRPr="005C2F34">
              <w:rPr>
                <w:rFonts w:cs="Arial"/>
                <w:b/>
                <w:bCs/>
                <w:color w:val="000000"/>
                <w:szCs w:val="24"/>
                <w:lang w:eastAsia="en-GB"/>
              </w:rPr>
              <w:t>47.</w:t>
            </w:r>
            <w:r w:rsidR="005C2F34" w:rsidRPr="005C2F34">
              <w:rPr>
                <w:rFonts w:cs="Arial"/>
                <w:b/>
                <w:bCs/>
                <w:color w:val="000000"/>
                <w:szCs w:val="24"/>
                <w:lang w:eastAsia="en-GB"/>
              </w:rPr>
              <w:t>326</w:t>
            </w:r>
          </w:p>
        </w:tc>
      </w:tr>
    </w:tbl>
    <w:p w14:paraId="1CFA0CE9" w14:textId="77777777" w:rsidR="005C57E8" w:rsidRPr="005C57E8" w:rsidRDefault="005C57E8" w:rsidP="00FD1766">
      <w:pPr>
        <w:spacing w:after="0"/>
        <w:rPr>
          <w:rFonts w:cs="Arial"/>
          <w:b/>
          <w:szCs w:val="24"/>
          <w:u w:val="single"/>
        </w:rPr>
      </w:pPr>
    </w:p>
    <w:p w14:paraId="6011E4C4" w14:textId="77777777" w:rsidR="00C343AD" w:rsidRDefault="00C343AD" w:rsidP="00FD1766">
      <w:pPr>
        <w:spacing w:after="0"/>
        <w:rPr>
          <w:rFonts w:cs="Arial"/>
          <w:b/>
          <w:szCs w:val="24"/>
          <w:highlight w:val="yellow"/>
          <w:u w:val="single"/>
        </w:rPr>
      </w:pPr>
    </w:p>
    <w:p w14:paraId="2DE50B87" w14:textId="77777777" w:rsidR="005C57E8" w:rsidRDefault="005C57E8" w:rsidP="00FD1766">
      <w:pPr>
        <w:spacing w:after="0"/>
        <w:rPr>
          <w:rFonts w:cs="Arial"/>
          <w:b/>
          <w:szCs w:val="24"/>
          <w:highlight w:val="yellow"/>
          <w:u w:val="single"/>
        </w:rPr>
      </w:pPr>
    </w:p>
    <w:p w14:paraId="3BE964FD" w14:textId="77777777" w:rsidR="00741EE3" w:rsidRDefault="00741EE3" w:rsidP="004321DB">
      <w:pPr>
        <w:spacing w:after="0"/>
        <w:jc w:val="both"/>
        <w:rPr>
          <w:rFonts w:cs="Arial"/>
          <w:b/>
          <w:szCs w:val="24"/>
          <w:highlight w:val="yellow"/>
          <w:u w:val="single"/>
        </w:rPr>
      </w:pPr>
    </w:p>
    <w:p w14:paraId="604AAE42" w14:textId="77777777" w:rsidR="00515C87" w:rsidRDefault="00515C87" w:rsidP="004321DB">
      <w:pPr>
        <w:spacing w:after="0"/>
        <w:jc w:val="both"/>
        <w:rPr>
          <w:rFonts w:cs="Arial"/>
          <w:b/>
          <w:szCs w:val="24"/>
          <w:highlight w:val="yellow"/>
          <w:u w:val="single"/>
        </w:rPr>
      </w:pPr>
    </w:p>
    <w:p w14:paraId="7E629BCC" w14:textId="1B580755" w:rsidR="00632869" w:rsidRPr="00780644" w:rsidRDefault="00F7294A" w:rsidP="004321DB">
      <w:pPr>
        <w:spacing w:after="0"/>
        <w:jc w:val="both"/>
        <w:rPr>
          <w:rFonts w:cs="Arial"/>
          <w:i/>
          <w:szCs w:val="24"/>
        </w:rPr>
      </w:pPr>
      <w:r>
        <w:rPr>
          <w:rFonts w:cs="Arial"/>
          <w:i/>
          <w:szCs w:val="24"/>
        </w:rPr>
        <w:t>5</w:t>
      </w:r>
      <w:r w:rsidR="0002062B" w:rsidRPr="00780644">
        <w:rPr>
          <w:rFonts w:cs="Arial"/>
          <w:i/>
          <w:szCs w:val="24"/>
        </w:rPr>
        <w:t xml:space="preserve">.2 </w:t>
      </w:r>
      <w:r w:rsidR="000D5891" w:rsidRPr="00780644">
        <w:rPr>
          <w:rFonts w:cs="Arial"/>
          <w:i/>
          <w:szCs w:val="24"/>
        </w:rPr>
        <w:t>Revenue Budgets</w:t>
      </w:r>
      <w:r w:rsidR="00632869" w:rsidRPr="00780644">
        <w:rPr>
          <w:rFonts w:cs="Arial"/>
          <w:i/>
          <w:szCs w:val="24"/>
        </w:rPr>
        <w:t xml:space="preserve"> fo</w:t>
      </w:r>
      <w:r w:rsidR="008E4942" w:rsidRPr="00780644">
        <w:rPr>
          <w:rFonts w:cs="Arial"/>
          <w:i/>
          <w:szCs w:val="24"/>
        </w:rPr>
        <w:t xml:space="preserve">r Services in </w:t>
      </w:r>
      <w:r w:rsidR="00975187" w:rsidRPr="00780644">
        <w:rPr>
          <w:rFonts w:cs="Arial"/>
          <w:i/>
          <w:szCs w:val="24"/>
        </w:rPr>
        <w:t>201</w:t>
      </w:r>
      <w:r w:rsidR="00780644" w:rsidRPr="00780644">
        <w:rPr>
          <w:rFonts w:cs="Arial"/>
          <w:i/>
          <w:szCs w:val="24"/>
        </w:rPr>
        <w:t>9/20</w:t>
      </w:r>
    </w:p>
    <w:p w14:paraId="27FFE9EE" w14:textId="77777777" w:rsidR="0002062B" w:rsidRPr="00DE45C1" w:rsidRDefault="0002062B" w:rsidP="004321DB">
      <w:pPr>
        <w:spacing w:after="0"/>
        <w:jc w:val="both"/>
        <w:rPr>
          <w:rFonts w:cs="Arial"/>
          <w:i/>
          <w:szCs w:val="24"/>
          <w:highlight w:val="yellow"/>
        </w:rPr>
      </w:pPr>
    </w:p>
    <w:p w14:paraId="1FBE1D04" w14:textId="4D9256ED" w:rsidR="00624D24" w:rsidRPr="00133EFF" w:rsidRDefault="00235811" w:rsidP="004321DB">
      <w:pPr>
        <w:spacing w:after="0"/>
        <w:jc w:val="both"/>
        <w:rPr>
          <w:rFonts w:cs="Arial"/>
          <w:szCs w:val="24"/>
        </w:rPr>
      </w:pPr>
      <w:r w:rsidRPr="00133EFF">
        <w:rPr>
          <w:rFonts w:cs="Arial"/>
          <w:szCs w:val="24"/>
        </w:rPr>
        <w:t xml:space="preserve">The budget outlined </w:t>
      </w:r>
      <w:r w:rsidR="00407446">
        <w:rPr>
          <w:rFonts w:cs="Arial"/>
          <w:szCs w:val="24"/>
        </w:rPr>
        <w:t>below</w:t>
      </w:r>
      <w:r w:rsidRPr="00133EFF">
        <w:rPr>
          <w:rFonts w:cs="Arial"/>
          <w:szCs w:val="24"/>
        </w:rPr>
        <w:t xml:space="preserve"> results in</w:t>
      </w:r>
      <w:r w:rsidR="00E917F6" w:rsidRPr="00133EFF">
        <w:rPr>
          <w:rFonts w:cs="Arial"/>
          <w:szCs w:val="24"/>
        </w:rPr>
        <w:t xml:space="preserve"> </w:t>
      </w:r>
      <w:r w:rsidR="007A4950">
        <w:rPr>
          <w:rFonts w:cs="Arial"/>
          <w:szCs w:val="24"/>
        </w:rPr>
        <w:t xml:space="preserve">a </w:t>
      </w:r>
      <w:r w:rsidR="00E917F6" w:rsidRPr="00133EFF">
        <w:rPr>
          <w:rFonts w:cs="Arial"/>
          <w:szCs w:val="24"/>
        </w:rPr>
        <w:t>net</w:t>
      </w:r>
      <w:r w:rsidRPr="00133EFF">
        <w:rPr>
          <w:rFonts w:cs="Arial"/>
          <w:szCs w:val="24"/>
        </w:rPr>
        <w:t xml:space="preserve"> </w:t>
      </w:r>
      <w:r w:rsidR="007A4950">
        <w:rPr>
          <w:rFonts w:cs="Arial"/>
          <w:szCs w:val="24"/>
        </w:rPr>
        <w:t>revenue budget</w:t>
      </w:r>
      <w:r w:rsidR="001D0484" w:rsidRPr="00133EFF">
        <w:rPr>
          <w:rFonts w:cs="Arial"/>
          <w:szCs w:val="24"/>
        </w:rPr>
        <w:t xml:space="preserve"> of £</w:t>
      </w:r>
      <w:r w:rsidR="00515C87">
        <w:rPr>
          <w:rFonts w:cs="Arial"/>
          <w:szCs w:val="24"/>
        </w:rPr>
        <w:t>802.275m</w:t>
      </w:r>
      <w:r w:rsidRPr="00133EFF">
        <w:rPr>
          <w:rFonts w:cs="Arial"/>
          <w:szCs w:val="24"/>
        </w:rPr>
        <w:t xml:space="preserve">. </w:t>
      </w:r>
      <w:r w:rsidR="00E917F6" w:rsidRPr="00133EFF">
        <w:rPr>
          <w:rFonts w:cs="Arial"/>
          <w:szCs w:val="24"/>
        </w:rPr>
        <w:t>T</w:t>
      </w:r>
      <w:r w:rsidR="006D7BB3" w:rsidRPr="00133EFF">
        <w:rPr>
          <w:rFonts w:cs="Arial"/>
          <w:szCs w:val="24"/>
        </w:rPr>
        <w:t>he budget by service is</w:t>
      </w:r>
      <w:r w:rsidR="00B405A9" w:rsidRPr="00133EFF">
        <w:rPr>
          <w:rFonts w:cs="Arial"/>
          <w:szCs w:val="24"/>
        </w:rPr>
        <w:t xml:space="preserve"> summarise</w:t>
      </w:r>
      <w:r w:rsidR="0002062B" w:rsidRPr="00133EFF">
        <w:rPr>
          <w:rFonts w:cs="Arial"/>
          <w:szCs w:val="24"/>
        </w:rPr>
        <w:t>d below:</w:t>
      </w:r>
    </w:p>
    <w:p w14:paraId="5B6BD5DA" w14:textId="77777777" w:rsidR="000167FA" w:rsidRPr="00780644" w:rsidRDefault="0002062B" w:rsidP="004321DB">
      <w:pPr>
        <w:spacing w:after="0"/>
        <w:jc w:val="both"/>
        <w:rPr>
          <w:rFonts w:cs="Arial"/>
          <w:szCs w:val="24"/>
        </w:rPr>
      </w:pPr>
      <w:r w:rsidRPr="00780644">
        <w:rPr>
          <w:rFonts w:cs="Arial"/>
          <w:szCs w:val="24"/>
        </w:rPr>
        <w:t xml:space="preserve"> </w:t>
      </w:r>
    </w:p>
    <w:p w14:paraId="52F7FD43" w14:textId="16E60CB3" w:rsidR="00816367" w:rsidRPr="00780644" w:rsidRDefault="00545F55" w:rsidP="001D0484">
      <w:pPr>
        <w:spacing w:after="0"/>
        <w:jc w:val="both"/>
        <w:rPr>
          <w:rFonts w:cs="Arial"/>
          <w:b/>
          <w:bCs/>
          <w:color w:val="000000"/>
          <w:sz w:val="22"/>
          <w:lang w:eastAsia="en-GB"/>
        </w:rPr>
      </w:pPr>
      <w:r w:rsidRPr="00780644">
        <w:rPr>
          <w:rFonts w:cs="Arial"/>
          <w:b/>
          <w:szCs w:val="24"/>
          <w:u w:val="single"/>
        </w:rPr>
        <w:t>Table 1</w:t>
      </w:r>
      <w:r w:rsidR="00F7294A">
        <w:rPr>
          <w:rFonts w:cs="Arial"/>
          <w:b/>
          <w:szCs w:val="24"/>
          <w:u w:val="single"/>
        </w:rPr>
        <w:t>0</w:t>
      </w:r>
    </w:p>
    <w:p w14:paraId="4A459B36" w14:textId="77777777" w:rsidR="003862D8" w:rsidRPr="00DE45C1" w:rsidRDefault="003862D8" w:rsidP="001D0484">
      <w:pPr>
        <w:spacing w:after="0"/>
        <w:jc w:val="both"/>
        <w:rPr>
          <w:rFonts w:cs="Arial"/>
          <w:szCs w:val="24"/>
          <w:highlight w:val="yellow"/>
        </w:rPr>
      </w:pPr>
    </w:p>
    <w:tbl>
      <w:tblPr>
        <w:tblW w:w="7868" w:type="dxa"/>
        <w:jc w:val="center"/>
        <w:tblLayout w:type="fixed"/>
        <w:tblLook w:val="04A0" w:firstRow="1" w:lastRow="0" w:firstColumn="1" w:lastColumn="0" w:noHBand="0" w:noVBand="1"/>
      </w:tblPr>
      <w:tblGrid>
        <w:gridCol w:w="5089"/>
        <w:gridCol w:w="2779"/>
      </w:tblGrid>
      <w:tr w:rsidR="00AB180C" w:rsidRPr="008179E2" w14:paraId="4574A2BE" w14:textId="77777777" w:rsidTr="00CD1932">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14:paraId="4C0CCA28" w14:textId="2439D4FD" w:rsidR="00AB180C" w:rsidRPr="008179E2" w:rsidRDefault="00836DA7" w:rsidP="00AB180C">
            <w:pPr>
              <w:jc w:val="center"/>
              <w:rPr>
                <w:rFonts w:cs="Arial"/>
                <w:b/>
                <w:bCs/>
                <w:color w:val="000000"/>
                <w:sz w:val="22"/>
              </w:rPr>
            </w:pPr>
            <w:r w:rsidRPr="008179E2">
              <w:rPr>
                <w:rFonts w:cs="Arial"/>
                <w:b/>
                <w:bCs/>
                <w:color w:val="000000"/>
                <w:sz w:val="22"/>
              </w:rPr>
              <w:t>Revenue Budget 2019/20</w:t>
            </w:r>
          </w:p>
        </w:tc>
        <w:tc>
          <w:tcPr>
            <w:tcW w:w="2779" w:type="dxa"/>
            <w:tcBorders>
              <w:top w:val="single" w:sz="4" w:space="0" w:color="auto"/>
              <w:left w:val="single" w:sz="4" w:space="0" w:color="auto"/>
              <w:right w:val="single" w:sz="4" w:space="0" w:color="auto"/>
            </w:tcBorders>
            <w:shd w:val="clear" w:color="auto" w:fill="auto"/>
            <w:noWrap/>
            <w:vAlign w:val="center"/>
            <w:hideMark/>
          </w:tcPr>
          <w:p w14:paraId="21B43354" w14:textId="77777777" w:rsidR="00AB180C" w:rsidRPr="008179E2" w:rsidRDefault="00AB180C" w:rsidP="00AB180C">
            <w:pPr>
              <w:spacing w:after="0"/>
              <w:jc w:val="center"/>
              <w:rPr>
                <w:rFonts w:cs="Arial"/>
                <w:b/>
                <w:bCs/>
                <w:color w:val="000000"/>
                <w:sz w:val="22"/>
              </w:rPr>
            </w:pPr>
            <w:r w:rsidRPr="008179E2">
              <w:rPr>
                <w:rFonts w:cs="Arial"/>
                <w:b/>
                <w:bCs/>
                <w:color w:val="000000"/>
                <w:sz w:val="22"/>
              </w:rPr>
              <w:t>Net Budget</w:t>
            </w:r>
          </w:p>
          <w:p w14:paraId="1921EC58" w14:textId="77777777" w:rsidR="00AB180C" w:rsidRPr="008179E2" w:rsidRDefault="00AB180C" w:rsidP="00AB180C">
            <w:pPr>
              <w:spacing w:after="0"/>
              <w:jc w:val="center"/>
              <w:rPr>
                <w:rFonts w:cs="Arial"/>
                <w:b/>
                <w:bCs/>
                <w:color w:val="000000"/>
                <w:sz w:val="22"/>
              </w:rPr>
            </w:pPr>
            <w:r w:rsidRPr="008179E2">
              <w:rPr>
                <w:rFonts w:cs="Arial"/>
                <w:b/>
                <w:bCs/>
                <w:color w:val="000000"/>
                <w:sz w:val="22"/>
              </w:rPr>
              <w:t>£m</w:t>
            </w:r>
          </w:p>
        </w:tc>
      </w:tr>
      <w:tr w:rsidR="00AB180C" w:rsidRPr="008179E2" w14:paraId="221931C0"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2466" w14:textId="77777777" w:rsidR="00AB180C" w:rsidRPr="008179E2" w:rsidRDefault="00AB180C" w:rsidP="00AB180C">
            <w:pPr>
              <w:rPr>
                <w:rFonts w:cs="Arial"/>
                <w:b/>
                <w:bCs/>
                <w:color w:val="000000"/>
                <w:sz w:val="22"/>
              </w:rPr>
            </w:pPr>
            <w:r w:rsidRPr="008179E2">
              <w:rPr>
                <w:rFonts w:cs="Arial"/>
                <w:color w:val="000000"/>
                <w:sz w:val="22"/>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51A93" w14:textId="647C3981" w:rsidR="00AB180C" w:rsidRPr="008179E2" w:rsidRDefault="00F75D23" w:rsidP="008179E2">
            <w:pPr>
              <w:jc w:val="right"/>
              <w:rPr>
                <w:rFonts w:cs="Arial"/>
                <w:bCs/>
                <w:color w:val="000000"/>
                <w:sz w:val="22"/>
              </w:rPr>
            </w:pPr>
            <w:r>
              <w:rPr>
                <w:rFonts w:cs="Arial"/>
                <w:bCs/>
                <w:color w:val="000000"/>
                <w:sz w:val="22"/>
              </w:rPr>
              <w:t>343.054</w:t>
            </w:r>
          </w:p>
        </w:tc>
      </w:tr>
      <w:tr w:rsidR="00836DA7" w:rsidRPr="008179E2" w14:paraId="36B29DD8"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0FBBC44B" w14:textId="7D5E4640" w:rsidR="00836DA7" w:rsidRPr="008179E2" w:rsidRDefault="00836DA7" w:rsidP="00AB180C">
            <w:pPr>
              <w:rPr>
                <w:rFonts w:cs="Arial"/>
                <w:color w:val="000000"/>
                <w:sz w:val="22"/>
              </w:rPr>
            </w:pPr>
            <w:r w:rsidRPr="008179E2">
              <w:rPr>
                <w:rFonts w:cs="Arial"/>
                <w:color w:val="000000"/>
                <w:sz w:val="22"/>
              </w:rPr>
              <w:t>Chief Executive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62553" w14:textId="101631EC" w:rsidR="00836DA7" w:rsidRPr="008179E2" w:rsidRDefault="00836DA7" w:rsidP="008179E2">
            <w:pPr>
              <w:jc w:val="right"/>
              <w:rPr>
                <w:rFonts w:cs="Arial"/>
                <w:bCs/>
                <w:color w:val="000000"/>
                <w:sz w:val="22"/>
              </w:rPr>
            </w:pPr>
            <w:r w:rsidRPr="008179E2">
              <w:rPr>
                <w:rFonts w:cs="Arial"/>
                <w:bCs/>
                <w:color w:val="000000"/>
                <w:sz w:val="22"/>
              </w:rPr>
              <w:t>28.</w:t>
            </w:r>
            <w:r w:rsidR="008179E2">
              <w:rPr>
                <w:rFonts w:cs="Arial"/>
                <w:bCs/>
                <w:color w:val="000000"/>
                <w:sz w:val="22"/>
              </w:rPr>
              <w:t>990</w:t>
            </w:r>
          </w:p>
        </w:tc>
      </w:tr>
      <w:tr w:rsidR="00AB180C" w:rsidRPr="008179E2" w14:paraId="0B8E412E"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B965D01" w14:textId="53640644" w:rsidR="00AB180C" w:rsidRPr="008179E2" w:rsidRDefault="00836DA7" w:rsidP="00AB180C">
            <w:pPr>
              <w:rPr>
                <w:rFonts w:cs="Arial"/>
                <w:color w:val="000000"/>
                <w:sz w:val="22"/>
              </w:rPr>
            </w:pPr>
            <w:r w:rsidRPr="008179E2">
              <w:rPr>
                <w:rFonts w:cs="Arial"/>
                <w:color w:val="000000"/>
                <w:sz w:val="22"/>
              </w:rPr>
              <w:t>Children's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AC96E" w14:textId="2A71787B" w:rsidR="00AB180C" w:rsidRPr="008179E2" w:rsidRDefault="00836DA7" w:rsidP="00AB180C">
            <w:pPr>
              <w:jc w:val="right"/>
              <w:rPr>
                <w:rFonts w:cs="Arial"/>
                <w:color w:val="000000"/>
                <w:sz w:val="22"/>
              </w:rPr>
            </w:pPr>
            <w:r w:rsidRPr="008179E2">
              <w:rPr>
                <w:rFonts w:cs="Arial"/>
                <w:color w:val="000000"/>
                <w:sz w:val="22"/>
              </w:rPr>
              <w:t>143.820</w:t>
            </w:r>
          </w:p>
        </w:tc>
      </w:tr>
      <w:tr w:rsidR="00AB180C" w:rsidRPr="008179E2" w14:paraId="51E90455"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B67285F" w14:textId="42A3AEF7" w:rsidR="00AB180C" w:rsidRPr="008179E2" w:rsidRDefault="00836DA7" w:rsidP="00AB180C">
            <w:pPr>
              <w:rPr>
                <w:rFonts w:cs="Arial"/>
                <w:color w:val="000000"/>
                <w:sz w:val="22"/>
              </w:rPr>
            </w:pPr>
            <w:r w:rsidRPr="008179E2">
              <w:rPr>
                <w:rFonts w:cs="Arial"/>
                <w:color w:val="000000"/>
                <w:sz w:val="22"/>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4BA39" w14:textId="4DD3E786" w:rsidR="00AB180C" w:rsidRPr="008179E2" w:rsidRDefault="00836DA7" w:rsidP="00AB180C">
            <w:pPr>
              <w:jc w:val="right"/>
              <w:rPr>
                <w:rFonts w:cs="Arial"/>
                <w:color w:val="000000"/>
                <w:sz w:val="22"/>
              </w:rPr>
            </w:pPr>
            <w:r w:rsidRPr="008179E2">
              <w:rPr>
                <w:rFonts w:cs="Arial"/>
                <w:color w:val="000000"/>
                <w:sz w:val="22"/>
              </w:rPr>
              <w:t>18.954</w:t>
            </w:r>
          </w:p>
        </w:tc>
      </w:tr>
      <w:tr w:rsidR="00AB180C" w:rsidRPr="008179E2" w14:paraId="02DB7BB0"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35812CF" w14:textId="1C7C2328" w:rsidR="00AB180C" w:rsidRPr="008179E2" w:rsidRDefault="00836DA7" w:rsidP="00AB180C">
            <w:pPr>
              <w:rPr>
                <w:rFonts w:cs="Arial"/>
                <w:color w:val="000000"/>
                <w:sz w:val="22"/>
              </w:rPr>
            </w:pPr>
            <w:r w:rsidRPr="008179E2">
              <w:rPr>
                <w:rFonts w:cs="Arial"/>
                <w:color w:val="000000"/>
                <w:sz w:val="22"/>
              </w:rPr>
              <w:t>Education and Skills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788D" w14:textId="615D7ECF" w:rsidR="00AB180C" w:rsidRPr="008179E2" w:rsidRDefault="00836DA7" w:rsidP="00AB180C">
            <w:pPr>
              <w:jc w:val="right"/>
              <w:rPr>
                <w:rFonts w:cs="Arial"/>
                <w:color w:val="000000"/>
                <w:sz w:val="22"/>
              </w:rPr>
            </w:pPr>
            <w:r w:rsidRPr="008179E2">
              <w:rPr>
                <w:rFonts w:cs="Arial"/>
                <w:color w:val="000000"/>
                <w:sz w:val="22"/>
              </w:rPr>
              <w:t>27.879</w:t>
            </w:r>
          </w:p>
        </w:tc>
      </w:tr>
      <w:tr w:rsidR="00AB180C" w:rsidRPr="008179E2" w14:paraId="6089F2A7"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924C6D6" w14:textId="5AD6BDC3" w:rsidR="00AB180C" w:rsidRPr="008179E2" w:rsidRDefault="00836DA7" w:rsidP="00AB180C">
            <w:pPr>
              <w:rPr>
                <w:rFonts w:cs="Arial"/>
                <w:color w:val="000000"/>
                <w:sz w:val="22"/>
              </w:rPr>
            </w:pPr>
            <w:r w:rsidRPr="008179E2">
              <w:rPr>
                <w:rFonts w:cs="Arial"/>
                <w:color w:val="000000"/>
                <w:sz w:val="22"/>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CC68D" w14:textId="7B3AD7A0" w:rsidR="00AB180C" w:rsidRPr="008179E2" w:rsidRDefault="00836DA7" w:rsidP="00AB180C">
            <w:pPr>
              <w:jc w:val="right"/>
              <w:rPr>
                <w:rFonts w:cs="Arial"/>
                <w:color w:val="000000"/>
                <w:sz w:val="22"/>
              </w:rPr>
            </w:pPr>
            <w:r w:rsidRPr="008179E2">
              <w:rPr>
                <w:rFonts w:cs="Arial"/>
                <w:color w:val="000000"/>
                <w:sz w:val="22"/>
              </w:rPr>
              <w:t>38.073</w:t>
            </w:r>
          </w:p>
        </w:tc>
      </w:tr>
      <w:tr w:rsidR="00AB180C" w:rsidRPr="008179E2" w14:paraId="754B62DD"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72ECBEF" w14:textId="1B6F03A6" w:rsidR="00AB180C" w:rsidRPr="008179E2" w:rsidRDefault="00836DA7" w:rsidP="00AB180C">
            <w:pPr>
              <w:rPr>
                <w:rFonts w:cs="Arial"/>
                <w:color w:val="000000"/>
                <w:sz w:val="22"/>
              </w:rPr>
            </w:pPr>
            <w:r w:rsidRPr="008179E2">
              <w:rPr>
                <w:rFonts w:cs="Arial"/>
                <w:color w:val="000000"/>
                <w:sz w:val="22"/>
              </w:rPr>
              <w:t>Growth, Environment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4C71" w14:textId="47909180" w:rsidR="00AB180C" w:rsidRPr="008179E2" w:rsidRDefault="00836DA7" w:rsidP="00AB180C">
            <w:pPr>
              <w:jc w:val="right"/>
              <w:rPr>
                <w:rFonts w:cs="Arial"/>
                <w:color w:val="000000"/>
                <w:sz w:val="22"/>
              </w:rPr>
            </w:pPr>
            <w:r w:rsidRPr="008179E2">
              <w:rPr>
                <w:rFonts w:cs="Arial"/>
                <w:color w:val="000000"/>
                <w:sz w:val="22"/>
              </w:rPr>
              <w:t>3.940</w:t>
            </w:r>
          </w:p>
        </w:tc>
      </w:tr>
      <w:tr w:rsidR="00AB180C" w:rsidRPr="008179E2" w14:paraId="065ABE74"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81CB3FD" w14:textId="531F4965" w:rsidR="00AB180C" w:rsidRPr="008179E2" w:rsidRDefault="00836DA7" w:rsidP="00AB180C">
            <w:pPr>
              <w:rPr>
                <w:rFonts w:cs="Arial"/>
                <w:color w:val="000000"/>
                <w:sz w:val="22"/>
              </w:rPr>
            </w:pPr>
            <w:r w:rsidRPr="008179E2">
              <w:rPr>
                <w:rFonts w:cs="Arial"/>
                <w:color w:val="000000"/>
                <w:sz w:val="22"/>
              </w:rPr>
              <w:t>Waste Management</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1ECEB" w14:textId="724F8D37" w:rsidR="00AB180C" w:rsidRPr="008179E2" w:rsidRDefault="00836DA7" w:rsidP="00AB180C">
            <w:pPr>
              <w:ind w:left="-222"/>
              <w:jc w:val="right"/>
              <w:rPr>
                <w:rFonts w:cs="Arial"/>
                <w:color w:val="000000"/>
                <w:sz w:val="22"/>
              </w:rPr>
            </w:pPr>
            <w:r w:rsidRPr="008179E2">
              <w:rPr>
                <w:rFonts w:cs="Arial"/>
                <w:color w:val="000000"/>
                <w:sz w:val="22"/>
              </w:rPr>
              <w:t>65.995</w:t>
            </w:r>
          </w:p>
        </w:tc>
      </w:tr>
      <w:tr w:rsidR="00AB180C" w:rsidRPr="008179E2" w14:paraId="080DB5B7"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2491BC4" w14:textId="70E97BE7" w:rsidR="00AB180C" w:rsidRPr="008179E2" w:rsidRDefault="00836DA7" w:rsidP="00AB180C">
            <w:pPr>
              <w:rPr>
                <w:rFonts w:cs="Arial"/>
                <w:color w:val="000000"/>
                <w:sz w:val="22"/>
              </w:rPr>
            </w:pPr>
            <w:r w:rsidRPr="008179E2">
              <w:rPr>
                <w:rFonts w:cs="Arial"/>
                <w:color w:val="000000"/>
                <w:sz w:val="22"/>
              </w:rPr>
              <w:t>Highways and Transport</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B0DD0" w14:textId="673F3815" w:rsidR="00AB180C" w:rsidRPr="008179E2" w:rsidRDefault="00836DA7" w:rsidP="00515C87">
            <w:pPr>
              <w:ind w:left="-222"/>
              <w:jc w:val="right"/>
              <w:rPr>
                <w:rFonts w:cs="Arial"/>
                <w:color w:val="000000"/>
                <w:sz w:val="22"/>
              </w:rPr>
            </w:pPr>
            <w:r w:rsidRPr="008179E2">
              <w:rPr>
                <w:rFonts w:cs="Arial"/>
                <w:color w:val="000000"/>
                <w:sz w:val="22"/>
              </w:rPr>
              <w:t>5</w:t>
            </w:r>
            <w:r w:rsidR="00515C87">
              <w:rPr>
                <w:rFonts w:cs="Arial"/>
                <w:color w:val="000000"/>
                <w:sz w:val="22"/>
              </w:rPr>
              <w:t>7.998</w:t>
            </w:r>
          </w:p>
        </w:tc>
      </w:tr>
      <w:tr w:rsidR="00AB180C" w:rsidRPr="008179E2" w14:paraId="7F831416"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100D618" w14:textId="548BA2B4" w:rsidR="00AB180C" w:rsidRPr="008179E2" w:rsidRDefault="00836DA7" w:rsidP="00AB180C">
            <w:pPr>
              <w:rPr>
                <w:rFonts w:cs="Arial"/>
                <w:color w:val="000000"/>
                <w:sz w:val="22"/>
              </w:rPr>
            </w:pPr>
            <w:r w:rsidRPr="008179E2">
              <w:rPr>
                <w:rFonts w:cs="Arial"/>
                <w:color w:val="000000"/>
                <w:sz w:val="22"/>
              </w:rPr>
              <w:t>Public Health and Wellbeing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1B6D" w14:textId="0BEDB7F3" w:rsidR="00AB180C" w:rsidRPr="008179E2" w:rsidRDefault="00836DA7" w:rsidP="00AB180C">
            <w:pPr>
              <w:ind w:left="-222"/>
              <w:jc w:val="right"/>
              <w:rPr>
                <w:rFonts w:cs="Arial"/>
                <w:color w:val="000000"/>
                <w:sz w:val="22"/>
              </w:rPr>
            </w:pPr>
            <w:r w:rsidRPr="008179E2">
              <w:rPr>
                <w:rFonts w:cs="Arial"/>
                <w:color w:val="000000"/>
                <w:sz w:val="22"/>
              </w:rPr>
              <w:t>23.440</w:t>
            </w:r>
          </w:p>
        </w:tc>
      </w:tr>
      <w:tr w:rsidR="00AB180C" w:rsidRPr="008179E2" w14:paraId="59FD1E42"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2A69AFB" w14:textId="39B68F9D" w:rsidR="00AB180C" w:rsidRPr="008179E2" w:rsidRDefault="00836DA7" w:rsidP="00AB180C">
            <w:pPr>
              <w:rPr>
                <w:rFonts w:cs="Arial"/>
                <w:color w:val="000000"/>
                <w:sz w:val="22"/>
              </w:rPr>
            </w:pPr>
            <w:r w:rsidRPr="008179E2">
              <w:rPr>
                <w:rFonts w:cs="Arial"/>
                <w:color w:val="000000"/>
                <w:sz w:val="22"/>
              </w:rPr>
              <w:t>Strategy and Performance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48D4A" w14:textId="2BB04590" w:rsidR="00AB180C" w:rsidRPr="008179E2" w:rsidRDefault="00836DA7" w:rsidP="00AB180C">
            <w:pPr>
              <w:ind w:left="-222"/>
              <w:jc w:val="right"/>
              <w:rPr>
                <w:rFonts w:cs="Arial"/>
                <w:color w:val="000000"/>
                <w:sz w:val="22"/>
              </w:rPr>
            </w:pPr>
            <w:r w:rsidRPr="008179E2">
              <w:rPr>
                <w:rFonts w:cs="Arial"/>
                <w:color w:val="000000"/>
                <w:sz w:val="22"/>
              </w:rPr>
              <w:t>33.615</w:t>
            </w:r>
          </w:p>
        </w:tc>
      </w:tr>
      <w:tr w:rsidR="00AB180C" w:rsidRPr="008179E2" w14:paraId="55190602"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432B20" w14:textId="77777777" w:rsidR="00AB180C" w:rsidRPr="008179E2" w:rsidRDefault="00AB180C" w:rsidP="00AB180C">
            <w:pPr>
              <w:rPr>
                <w:rFonts w:cs="Arial"/>
                <w:color w:val="000000"/>
                <w:sz w:val="22"/>
              </w:rPr>
            </w:pPr>
            <w:r w:rsidRPr="008179E2">
              <w:rPr>
                <w:rFonts w:cs="Arial"/>
                <w:b/>
                <w:bCs/>
                <w:color w:val="000000"/>
                <w:sz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DA631D" w14:textId="53012F2C" w:rsidR="00AB180C" w:rsidRPr="008179E2" w:rsidRDefault="00F75D23" w:rsidP="008179E2">
            <w:pPr>
              <w:jc w:val="right"/>
              <w:rPr>
                <w:rFonts w:cs="Arial"/>
                <w:b/>
                <w:color w:val="000000"/>
                <w:sz w:val="22"/>
              </w:rPr>
            </w:pPr>
            <w:r>
              <w:rPr>
                <w:rFonts w:cs="Arial"/>
                <w:b/>
                <w:color w:val="000000"/>
                <w:sz w:val="22"/>
              </w:rPr>
              <w:t>785.758</w:t>
            </w:r>
          </w:p>
        </w:tc>
      </w:tr>
      <w:tr w:rsidR="00AB180C" w:rsidRPr="008179E2" w14:paraId="2F21F6FC"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5697" w14:textId="77777777" w:rsidR="00AB180C" w:rsidRPr="008179E2" w:rsidRDefault="00AB180C" w:rsidP="00AB180C">
            <w:pPr>
              <w:rPr>
                <w:rFonts w:cs="Arial"/>
                <w:bCs/>
                <w:color w:val="000000"/>
                <w:sz w:val="22"/>
              </w:rPr>
            </w:pPr>
            <w:r w:rsidRPr="008179E2">
              <w:rPr>
                <w:rFonts w:cs="Arial"/>
                <w:color w:val="000000"/>
                <w:sz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EB852" w14:textId="2FC61A23" w:rsidR="00AB180C" w:rsidRPr="008179E2" w:rsidRDefault="00836DA7" w:rsidP="00AB180C">
            <w:pPr>
              <w:jc w:val="right"/>
              <w:rPr>
                <w:rFonts w:cs="Arial"/>
                <w:bCs/>
                <w:color w:val="000000"/>
                <w:sz w:val="22"/>
              </w:rPr>
            </w:pPr>
            <w:r w:rsidRPr="008179E2">
              <w:rPr>
                <w:rFonts w:cs="Arial"/>
                <w:color w:val="000000"/>
                <w:sz w:val="22"/>
              </w:rPr>
              <w:t>26.762</w:t>
            </w:r>
          </w:p>
        </w:tc>
      </w:tr>
      <w:tr w:rsidR="00AB180C" w:rsidRPr="008179E2" w14:paraId="73A4812C"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E92E" w14:textId="77777777" w:rsidR="00AB180C" w:rsidRPr="008179E2" w:rsidRDefault="00AB180C" w:rsidP="00AB180C">
            <w:pPr>
              <w:rPr>
                <w:rFonts w:cs="Arial"/>
                <w:color w:val="000000"/>
                <w:sz w:val="22"/>
              </w:rPr>
            </w:pPr>
            <w:r w:rsidRPr="008179E2">
              <w:rPr>
                <w:rFonts w:cs="Arial"/>
                <w:color w:val="000000"/>
                <w:sz w:val="22"/>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A5611" w14:textId="112CC8D8" w:rsidR="00AB180C" w:rsidRPr="008179E2" w:rsidRDefault="00836DA7" w:rsidP="008179E2">
            <w:pPr>
              <w:jc w:val="right"/>
              <w:rPr>
                <w:rFonts w:cs="Arial"/>
                <w:color w:val="000000"/>
                <w:sz w:val="22"/>
              </w:rPr>
            </w:pPr>
            <w:r w:rsidRPr="008179E2">
              <w:rPr>
                <w:rFonts w:cs="Arial"/>
                <w:color w:val="000000"/>
                <w:sz w:val="22"/>
              </w:rPr>
              <w:t>-1</w:t>
            </w:r>
            <w:r w:rsidR="008179E2">
              <w:rPr>
                <w:rFonts w:cs="Arial"/>
                <w:color w:val="000000"/>
                <w:sz w:val="22"/>
              </w:rPr>
              <w:t>0.245</w:t>
            </w:r>
          </w:p>
        </w:tc>
      </w:tr>
      <w:tr w:rsidR="00AB180C" w:rsidRPr="008179E2" w14:paraId="1A38C144" w14:textId="77777777" w:rsidTr="00CD1932">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C5B44" w14:textId="6CCAA8CD" w:rsidR="00AB180C" w:rsidRPr="008179E2" w:rsidRDefault="00836DA7" w:rsidP="00AB180C">
            <w:pPr>
              <w:rPr>
                <w:rFonts w:cs="Arial"/>
                <w:color w:val="000000"/>
                <w:sz w:val="23"/>
                <w:szCs w:val="23"/>
              </w:rPr>
            </w:pPr>
            <w:r w:rsidRPr="008179E2">
              <w:rPr>
                <w:rFonts w:cs="Arial"/>
                <w:b/>
                <w:bCs/>
                <w:color w:val="000000"/>
                <w:sz w:val="23"/>
                <w:szCs w:val="23"/>
              </w:rPr>
              <w:t>Revenue budget 2019/20</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445F0EE" w14:textId="176E586F" w:rsidR="00AB180C" w:rsidRPr="008179E2" w:rsidRDefault="00F75D23" w:rsidP="00AB180C">
            <w:pPr>
              <w:jc w:val="right"/>
              <w:rPr>
                <w:rFonts w:cs="Arial"/>
                <w:b/>
                <w:color w:val="000000"/>
                <w:sz w:val="23"/>
                <w:szCs w:val="23"/>
              </w:rPr>
            </w:pPr>
            <w:r>
              <w:rPr>
                <w:rFonts w:cs="Arial"/>
                <w:b/>
                <w:color w:val="000000"/>
                <w:sz w:val="23"/>
                <w:szCs w:val="23"/>
              </w:rPr>
              <w:t>802.275</w:t>
            </w:r>
          </w:p>
        </w:tc>
      </w:tr>
    </w:tbl>
    <w:p w14:paraId="610D0885" w14:textId="77777777" w:rsidR="00AB180C" w:rsidRPr="00DE45C1" w:rsidRDefault="00AB180C" w:rsidP="001D0484">
      <w:pPr>
        <w:spacing w:after="0"/>
        <w:jc w:val="both"/>
        <w:rPr>
          <w:rFonts w:cs="Arial"/>
          <w:szCs w:val="24"/>
          <w:highlight w:val="yellow"/>
        </w:rPr>
      </w:pPr>
    </w:p>
    <w:p w14:paraId="5A4A5387" w14:textId="77777777" w:rsidR="00203550" w:rsidRPr="00DE45C1" w:rsidRDefault="00203550" w:rsidP="001D0484">
      <w:pPr>
        <w:spacing w:after="0"/>
        <w:jc w:val="both"/>
        <w:rPr>
          <w:rFonts w:cs="Arial"/>
          <w:szCs w:val="24"/>
          <w:highlight w:val="yellow"/>
        </w:rPr>
      </w:pPr>
    </w:p>
    <w:p w14:paraId="707342B3" w14:textId="77777777" w:rsidR="00203550" w:rsidRPr="00DE45C1" w:rsidRDefault="00203550" w:rsidP="001D0484">
      <w:pPr>
        <w:spacing w:after="0"/>
        <w:jc w:val="both"/>
        <w:rPr>
          <w:rFonts w:cs="Arial"/>
          <w:szCs w:val="24"/>
          <w:highlight w:val="yellow"/>
        </w:rPr>
      </w:pPr>
    </w:p>
    <w:p w14:paraId="10D2B302" w14:textId="77777777" w:rsidR="00203550" w:rsidRPr="00DE45C1" w:rsidRDefault="00203550" w:rsidP="001D0484">
      <w:pPr>
        <w:spacing w:after="0"/>
        <w:jc w:val="both"/>
        <w:rPr>
          <w:rFonts w:cs="Arial"/>
          <w:szCs w:val="24"/>
          <w:highlight w:val="yellow"/>
        </w:rPr>
      </w:pPr>
    </w:p>
    <w:p w14:paraId="7E2A0F71" w14:textId="77777777" w:rsidR="00203550" w:rsidRPr="00DE45C1" w:rsidRDefault="00203550" w:rsidP="001D0484">
      <w:pPr>
        <w:spacing w:after="0"/>
        <w:jc w:val="both"/>
        <w:rPr>
          <w:rFonts w:cs="Arial"/>
          <w:szCs w:val="24"/>
          <w:highlight w:val="yellow"/>
        </w:rPr>
      </w:pPr>
    </w:p>
    <w:p w14:paraId="2E9F5957" w14:textId="77777777" w:rsidR="00203550" w:rsidRPr="00DE45C1" w:rsidRDefault="00203550" w:rsidP="001D0484">
      <w:pPr>
        <w:spacing w:after="0"/>
        <w:jc w:val="both"/>
        <w:rPr>
          <w:rFonts w:cs="Arial"/>
          <w:szCs w:val="24"/>
          <w:highlight w:val="yellow"/>
        </w:rPr>
      </w:pPr>
    </w:p>
    <w:p w14:paraId="489E881A" w14:textId="77777777" w:rsidR="00203550" w:rsidRPr="00DE45C1" w:rsidRDefault="00203550" w:rsidP="001D0484">
      <w:pPr>
        <w:spacing w:after="0"/>
        <w:jc w:val="both"/>
        <w:rPr>
          <w:rFonts w:cs="Arial"/>
          <w:szCs w:val="24"/>
          <w:highlight w:val="yellow"/>
        </w:rPr>
      </w:pPr>
    </w:p>
    <w:p w14:paraId="3552966C" w14:textId="77777777" w:rsidR="00AB180C" w:rsidRPr="00DE45C1" w:rsidRDefault="00AB180C" w:rsidP="001D0484">
      <w:pPr>
        <w:spacing w:after="0"/>
        <w:jc w:val="both"/>
        <w:rPr>
          <w:rFonts w:cs="Arial"/>
          <w:szCs w:val="24"/>
          <w:highlight w:val="yellow"/>
        </w:rPr>
      </w:pPr>
    </w:p>
    <w:p w14:paraId="7162012A" w14:textId="77777777" w:rsidR="005D7B41" w:rsidRDefault="005D7B41" w:rsidP="001D0484">
      <w:pPr>
        <w:spacing w:after="0"/>
        <w:jc w:val="both"/>
        <w:rPr>
          <w:rFonts w:cs="Arial"/>
          <w:szCs w:val="24"/>
          <w:highlight w:val="yellow"/>
        </w:rPr>
      </w:pPr>
    </w:p>
    <w:p w14:paraId="57D39DD2" w14:textId="77777777" w:rsidR="005D7B41" w:rsidRDefault="005D7B41" w:rsidP="001D0484">
      <w:pPr>
        <w:spacing w:after="0"/>
        <w:jc w:val="both"/>
        <w:rPr>
          <w:rFonts w:cs="Arial"/>
          <w:szCs w:val="24"/>
        </w:rPr>
      </w:pPr>
    </w:p>
    <w:p w14:paraId="6B604CD1" w14:textId="7E3765D3" w:rsidR="00E96E42" w:rsidRPr="00A678A9" w:rsidRDefault="00F7294A" w:rsidP="001D0484">
      <w:pPr>
        <w:spacing w:after="0"/>
        <w:jc w:val="both"/>
        <w:rPr>
          <w:rFonts w:cs="Arial"/>
          <w:b/>
          <w:bCs/>
          <w:szCs w:val="24"/>
        </w:rPr>
      </w:pPr>
      <w:r>
        <w:rPr>
          <w:rFonts w:cs="Arial"/>
          <w:b/>
          <w:bCs/>
          <w:szCs w:val="24"/>
        </w:rPr>
        <w:t>6</w:t>
      </w:r>
      <w:r w:rsidR="0002062B" w:rsidRPr="00A678A9">
        <w:rPr>
          <w:rFonts w:cs="Arial"/>
          <w:b/>
          <w:bCs/>
          <w:szCs w:val="24"/>
        </w:rPr>
        <w:t xml:space="preserve">. </w:t>
      </w:r>
      <w:r w:rsidR="00E96E42" w:rsidRPr="00A678A9">
        <w:rPr>
          <w:rFonts w:cs="Arial"/>
          <w:b/>
          <w:bCs/>
          <w:szCs w:val="24"/>
        </w:rPr>
        <w:t xml:space="preserve">The Capital </w:t>
      </w:r>
      <w:r w:rsidR="00515C87">
        <w:rPr>
          <w:rFonts w:cs="Arial"/>
          <w:b/>
          <w:bCs/>
          <w:szCs w:val="24"/>
        </w:rPr>
        <w:t xml:space="preserve">Delivery </w:t>
      </w:r>
      <w:r w:rsidR="00E96E42" w:rsidRPr="00A678A9">
        <w:rPr>
          <w:rFonts w:cs="Arial"/>
          <w:b/>
          <w:bCs/>
          <w:szCs w:val="24"/>
        </w:rPr>
        <w:t>Programme</w:t>
      </w:r>
      <w:r w:rsidR="0031170D" w:rsidRPr="00A678A9">
        <w:rPr>
          <w:rFonts w:cs="Arial"/>
          <w:b/>
          <w:bCs/>
          <w:szCs w:val="24"/>
        </w:rPr>
        <w:t xml:space="preserve"> </w:t>
      </w:r>
    </w:p>
    <w:p w14:paraId="686FE4D6" w14:textId="77777777" w:rsidR="00AA35F3" w:rsidRPr="00A678A9" w:rsidRDefault="00AA35F3" w:rsidP="001D0484">
      <w:pPr>
        <w:spacing w:after="0"/>
        <w:jc w:val="both"/>
        <w:rPr>
          <w:rFonts w:cs="Arial"/>
          <w:szCs w:val="24"/>
        </w:rPr>
      </w:pPr>
    </w:p>
    <w:p w14:paraId="27AAC9C6" w14:textId="77777777" w:rsidR="00AA35F3" w:rsidRPr="00A678A9" w:rsidRDefault="00AA35F3" w:rsidP="001D0484">
      <w:pPr>
        <w:autoSpaceDE w:val="0"/>
        <w:autoSpaceDN w:val="0"/>
        <w:adjustRightInd w:val="0"/>
        <w:spacing w:after="0"/>
        <w:jc w:val="both"/>
        <w:rPr>
          <w:rFonts w:eastAsia="Calibri" w:cs="Helvetica-Light"/>
          <w:color w:val="000000"/>
          <w:szCs w:val="24"/>
        </w:rPr>
      </w:pPr>
      <w:r w:rsidRPr="00A678A9">
        <w:rPr>
          <w:rFonts w:eastAsia="Calibri" w:cs="Helvetica-Light"/>
          <w:color w:val="000000"/>
          <w:szCs w:val="24"/>
        </w:rPr>
        <w:t>This section of the report sets out the following:</w:t>
      </w:r>
    </w:p>
    <w:p w14:paraId="5E0B7736" w14:textId="77777777" w:rsidR="00075B93" w:rsidRPr="00A678A9" w:rsidRDefault="00075B93" w:rsidP="001D0484">
      <w:pPr>
        <w:autoSpaceDE w:val="0"/>
        <w:autoSpaceDN w:val="0"/>
        <w:adjustRightInd w:val="0"/>
        <w:spacing w:after="0"/>
        <w:jc w:val="both"/>
        <w:rPr>
          <w:rFonts w:eastAsia="Calibri" w:cs="Helvetica-Light"/>
          <w:color w:val="000000"/>
          <w:szCs w:val="24"/>
        </w:rPr>
      </w:pPr>
    </w:p>
    <w:p w14:paraId="78E93AFD" w14:textId="62DE038B" w:rsidR="007F16A8" w:rsidRPr="00A678A9" w:rsidRDefault="001371ED" w:rsidP="003862D8">
      <w:pPr>
        <w:numPr>
          <w:ilvl w:val="0"/>
          <w:numId w:val="7"/>
        </w:numPr>
        <w:autoSpaceDE w:val="0"/>
        <w:autoSpaceDN w:val="0"/>
        <w:adjustRightInd w:val="0"/>
        <w:spacing w:after="0"/>
        <w:ind w:left="284" w:hanging="284"/>
        <w:jc w:val="both"/>
        <w:rPr>
          <w:rFonts w:eastAsia="Calibri" w:cs="Helvetica-Light"/>
          <w:color w:val="000000"/>
          <w:szCs w:val="24"/>
        </w:rPr>
      </w:pPr>
      <w:r w:rsidRPr="00A678A9">
        <w:rPr>
          <w:rFonts w:eastAsia="Calibri" w:cs="Helvetica-Light"/>
          <w:color w:val="000000"/>
          <w:szCs w:val="24"/>
        </w:rPr>
        <w:t>an outline of the 201</w:t>
      </w:r>
      <w:r w:rsidR="00A678A9" w:rsidRPr="00A678A9">
        <w:rPr>
          <w:rFonts w:eastAsia="Calibri" w:cs="Helvetica-Light"/>
          <w:color w:val="000000"/>
          <w:szCs w:val="24"/>
        </w:rPr>
        <w:t>9/20</w:t>
      </w:r>
      <w:r w:rsidR="003862D8" w:rsidRPr="00A678A9">
        <w:rPr>
          <w:rFonts w:eastAsia="Calibri" w:cs="Helvetica-Light"/>
          <w:color w:val="000000"/>
          <w:szCs w:val="24"/>
        </w:rPr>
        <w:t xml:space="preserve"> </w:t>
      </w:r>
      <w:r w:rsidR="00AA35F3" w:rsidRPr="00A678A9">
        <w:rPr>
          <w:rFonts w:eastAsia="Calibri" w:cs="Helvetica-Light"/>
          <w:color w:val="000000"/>
          <w:szCs w:val="24"/>
        </w:rPr>
        <w:t>capital</w:t>
      </w:r>
      <w:r w:rsidR="00515C87">
        <w:rPr>
          <w:rFonts w:eastAsia="Calibri" w:cs="Helvetica-Light"/>
          <w:color w:val="000000"/>
          <w:szCs w:val="24"/>
        </w:rPr>
        <w:t xml:space="preserve"> delivery </w:t>
      </w:r>
      <w:r w:rsidR="00AA35F3" w:rsidRPr="00A678A9">
        <w:rPr>
          <w:rFonts w:eastAsia="Calibri" w:cs="Helvetica-Light"/>
          <w:color w:val="000000"/>
          <w:szCs w:val="24"/>
        </w:rPr>
        <w:t>pro</w:t>
      </w:r>
      <w:r w:rsidR="003862D8" w:rsidRPr="00A678A9">
        <w:rPr>
          <w:rFonts w:eastAsia="Calibri" w:cs="Helvetica-Light"/>
          <w:color w:val="000000"/>
          <w:szCs w:val="24"/>
        </w:rPr>
        <w:t xml:space="preserve">gramme including known projects; </w:t>
      </w:r>
      <w:r w:rsidR="00FE5CF3" w:rsidRPr="00A678A9">
        <w:rPr>
          <w:rFonts w:eastAsia="Calibri" w:cs="Helvetica-Light"/>
          <w:color w:val="000000"/>
          <w:szCs w:val="24"/>
        </w:rPr>
        <w:t>and</w:t>
      </w:r>
    </w:p>
    <w:p w14:paraId="2688FD17" w14:textId="77777777" w:rsidR="003862D8" w:rsidRPr="00A678A9" w:rsidRDefault="003862D8" w:rsidP="003862D8">
      <w:pPr>
        <w:autoSpaceDE w:val="0"/>
        <w:autoSpaceDN w:val="0"/>
        <w:adjustRightInd w:val="0"/>
        <w:spacing w:after="0"/>
        <w:ind w:left="284"/>
        <w:jc w:val="both"/>
        <w:rPr>
          <w:rFonts w:eastAsia="Calibri" w:cs="Helvetica-Light"/>
          <w:color w:val="000000"/>
          <w:szCs w:val="24"/>
        </w:rPr>
      </w:pPr>
    </w:p>
    <w:p w14:paraId="70621486" w14:textId="2ABC7C5D" w:rsidR="00AA35F3" w:rsidRPr="00A678A9" w:rsidRDefault="00AA35F3" w:rsidP="001D0484">
      <w:pPr>
        <w:numPr>
          <w:ilvl w:val="0"/>
          <w:numId w:val="7"/>
        </w:numPr>
        <w:autoSpaceDE w:val="0"/>
        <w:autoSpaceDN w:val="0"/>
        <w:adjustRightInd w:val="0"/>
        <w:spacing w:after="0"/>
        <w:ind w:left="284" w:hanging="284"/>
        <w:jc w:val="both"/>
        <w:rPr>
          <w:rFonts w:eastAsia="Calibri" w:cs="Helvetica-Light"/>
          <w:color w:val="000000"/>
          <w:szCs w:val="24"/>
        </w:rPr>
      </w:pPr>
      <w:proofErr w:type="gramStart"/>
      <w:r w:rsidRPr="00A678A9">
        <w:rPr>
          <w:rFonts w:eastAsia="Calibri" w:cs="Helvetica-Light"/>
          <w:color w:val="000000"/>
          <w:szCs w:val="24"/>
        </w:rPr>
        <w:t>summary</w:t>
      </w:r>
      <w:proofErr w:type="gramEnd"/>
      <w:r w:rsidRPr="00A678A9">
        <w:rPr>
          <w:rFonts w:eastAsia="Calibri" w:cs="Helvetica-Light"/>
          <w:color w:val="000000"/>
          <w:szCs w:val="24"/>
        </w:rPr>
        <w:t xml:space="preserve"> of </w:t>
      </w:r>
      <w:r w:rsidR="001371ED" w:rsidRPr="00A678A9">
        <w:rPr>
          <w:rFonts w:eastAsia="Calibri" w:cs="Helvetica-Light"/>
          <w:color w:val="000000"/>
          <w:szCs w:val="24"/>
        </w:rPr>
        <w:t>the proposed funding of the 201</w:t>
      </w:r>
      <w:r w:rsidR="00A678A9" w:rsidRPr="00A678A9">
        <w:rPr>
          <w:rFonts w:eastAsia="Calibri" w:cs="Helvetica-Light"/>
          <w:color w:val="000000"/>
          <w:szCs w:val="24"/>
        </w:rPr>
        <w:t>9/20</w:t>
      </w:r>
      <w:r w:rsidRPr="00A678A9">
        <w:rPr>
          <w:rFonts w:eastAsia="Calibri" w:cs="Helvetica-Light"/>
          <w:color w:val="000000"/>
          <w:szCs w:val="24"/>
        </w:rPr>
        <w:t xml:space="preserve"> capital </w:t>
      </w:r>
      <w:r w:rsidR="005D7B41">
        <w:rPr>
          <w:rFonts w:eastAsia="Calibri" w:cs="Helvetica-Light"/>
          <w:color w:val="000000"/>
          <w:szCs w:val="24"/>
        </w:rPr>
        <w:t xml:space="preserve">delivery </w:t>
      </w:r>
      <w:r w:rsidRPr="00A678A9">
        <w:rPr>
          <w:rFonts w:eastAsia="Calibri" w:cs="Helvetica-Light"/>
          <w:color w:val="000000"/>
          <w:szCs w:val="24"/>
        </w:rPr>
        <w:t>programme and the revenue implications of the increa</w:t>
      </w:r>
      <w:r w:rsidR="00FE5CF3" w:rsidRPr="00A678A9">
        <w:rPr>
          <w:rFonts w:eastAsia="Calibri" w:cs="Helvetica-Light"/>
          <w:color w:val="000000"/>
          <w:szCs w:val="24"/>
        </w:rPr>
        <w:t>sed use of prudential borrowing.</w:t>
      </w:r>
    </w:p>
    <w:p w14:paraId="7DBA4938" w14:textId="77777777" w:rsidR="00AA35F3" w:rsidRPr="00A678A9" w:rsidRDefault="00AA35F3" w:rsidP="007F16A8">
      <w:pPr>
        <w:tabs>
          <w:tab w:val="left" w:pos="851"/>
          <w:tab w:val="left" w:pos="1418"/>
          <w:tab w:val="left" w:pos="1985"/>
          <w:tab w:val="left" w:pos="2268"/>
        </w:tabs>
        <w:autoSpaceDE w:val="0"/>
        <w:autoSpaceDN w:val="0"/>
        <w:adjustRightInd w:val="0"/>
        <w:spacing w:after="0"/>
        <w:jc w:val="both"/>
        <w:rPr>
          <w:rFonts w:eastAsia="Calibri" w:cs="Arial"/>
          <w:color w:val="000000"/>
          <w:szCs w:val="24"/>
        </w:rPr>
      </w:pPr>
    </w:p>
    <w:p w14:paraId="6E97E2F3" w14:textId="3C8BBC16" w:rsidR="00AA35F3" w:rsidRPr="00A678A9" w:rsidRDefault="00F7294A"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t>6</w:t>
      </w:r>
      <w:r w:rsidR="00C95E4F" w:rsidRPr="00A678A9">
        <w:rPr>
          <w:rFonts w:eastAsia="Calibri" w:cs="Helvetica-Light"/>
          <w:i/>
          <w:color w:val="000000"/>
          <w:szCs w:val="24"/>
        </w:rPr>
        <w:t>.1</w:t>
      </w:r>
      <w:r w:rsidR="000167FA" w:rsidRPr="00A678A9">
        <w:rPr>
          <w:rFonts w:eastAsia="Calibri" w:cs="Helvetica-Light"/>
          <w:i/>
          <w:color w:val="000000"/>
          <w:szCs w:val="24"/>
        </w:rPr>
        <w:t xml:space="preserve"> </w:t>
      </w:r>
      <w:r w:rsidR="00AA35F3" w:rsidRPr="00A678A9">
        <w:rPr>
          <w:rFonts w:eastAsia="Calibri" w:cs="Helvetica-Light"/>
          <w:i/>
          <w:color w:val="000000"/>
          <w:szCs w:val="24"/>
        </w:rPr>
        <w:t xml:space="preserve">Capital </w:t>
      </w:r>
      <w:r w:rsidR="00515C87">
        <w:rPr>
          <w:rFonts w:eastAsia="Calibri" w:cs="Helvetica-Light"/>
          <w:i/>
          <w:color w:val="000000"/>
          <w:szCs w:val="24"/>
        </w:rPr>
        <w:t xml:space="preserve">Delivery </w:t>
      </w:r>
      <w:r w:rsidR="00AA35F3" w:rsidRPr="00A678A9">
        <w:rPr>
          <w:rFonts w:eastAsia="Calibri" w:cs="Helvetica-Light"/>
          <w:i/>
          <w:color w:val="000000"/>
          <w:szCs w:val="24"/>
        </w:rPr>
        <w:t>Programme for 201</w:t>
      </w:r>
      <w:r w:rsidR="00A678A9" w:rsidRPr="00A678A9">
        <w:rPr>
          <w:rFonts w:eastAsia="Calibri" w:cs="Helvetica-Light"/>
          <w:i/>
          <w:color w:val="000000"/>
          <w:szCs w:val="24"/>
        </w:rPr>
        <w:t xml:space="preserve">9/20 </w:t>
      </w:r>
    </w:p>
    <w:p w14:paraId="53EA7CFC" w14:textId="77777777" w:rsidR="00AA35F3" w:rsidRPr="00DE45C1" w:rsidRDefault="00AA35F3" w:rsidP="001D0484">
      <w:pPr>
        <w:autoSpaceDE w:val="0"/>
        <w:autoSpaceDN w:val="0"/>
        <w:adjustRightInd w:val="0"/>
        <w:spacing w:after="0"/>
        <w:jc w:val="both"/>
        <w:rPr>
          <w:rFonts w:eastAsia="Calibri" w:cs="Helvetica-Light"/>
          <w:b/>
          <w:color w:val="000000"/>
          <w:szCs w:val="24"/>
          <w:highlight w:val="yellow"/>
          <w:u w:val="single"/>
        </w:rPr>
      </w:pPr>
    </w:p>
    <w:p w14:paraId="1E08E0F4" w14:textId="4C0DD56E" w:rsidR="00A678A9" w:rsidRDefault="007F16A8" w:rsidP="00A678A9">
      <w:pPr>
        <w:autoSpaceDE w:val="0"/>
        <w:autoSpaceDN w:val="0"/>
        <w:adjustRightInd w:val="0"/>
        <w:spacing w:after="0"/>
        <w:jc w:val="both"/>
        <w:rPr>
          <w:rFonts w:cs="Arial"/>
          <w:szCs w:val="24"/>
        </w:rPr>
      </w:pPr>
      <w:r w:rsidRPr="00A678A9">
        <w:rPr>
          <w:rFonts w:eastAsia="Calibri" w:cs="Helvetica-Light"/>
          <w:color w:val="000000"/>
          <w:szCs w:val="24"/>
        </w:rPr>
        <w:t>Table 1</w:t>
      </w:r>
      <w:r w:rsidR="00515C87">
        <w:rPr>
          <w:rFonts w:eastAsia="Calibri" w:cs="Helvetica-Light"/>
          <w:color w:val="000000"/>
          <w:szCs w:val="24"/>
        </w:rPr>
        <w:t>1</w:t>
      </w:r>
      <w:r w:rsidR="00AA35F3" w:rsidRPr="00A678A9">
        <w:rPr>
          <w:rFonts w:eastAsia="Calibri" w:cs="Helvetica-Light"/>
          <w:color w:val="000000"/>
          <w:szCs w:val="24"/>
        </w:rPr>
        <w:t xml:space="preserve"> below detail</w:t>
      </w:r>
      <w:r w:rsidR="00A678A9">
        <w:rPr>
          <w:rFonts w:eastAsia="Calibri" w:cs="Helvetica-Light"/>
          <w:color w:val="000000"/>
          <w:szCs w:val="24"/>
        </w:rPr>
        <w:t>s a</w:t>
      </w:r>
      <w:r w:rsidR="00A678A9" w:rsidRPr="00D635BF">
        <w:rPr>
          <w:rFonts w:cs="Arial"/>
          <w:szCs w:val="24"/>
        </w:rPr>
        <w:t xml:space="preserve"> summary of the proposed capital delivery programme for 2019/20 of £130.289m.  The proposed 2019/20 delivery programme will include the provision to complete works already in the programme and the addition of projects identified for utilising the updated capital grant funding for 2019/20.</w:t>
      </w:r>
      <w:r w:rsidR="00A678A9">
        <w:rPr>
          <w:rFonts w:cs="Arial"/>
          <w:szCs w:val="24"/>
        </w:rPr>
        <w:t xml:space="preserve"> </w:t>
      </w:r>
    </w:p>
    <w:p w14:paraId="7D00D414" w14:textId="77777777" w:rsidR="00A678A9" w:rsidRDefault="00A678A9" w:rsidP="00A678A9">
      <w:pPr>
        <w:autoSpaceDE w:val="0"/>
        <w:autoSpaceDN w:val="0"/>
        <w:adjustRightInd w:val="0"/>
        <w:spacing w:after="0"/>
        <w:jc w:val="both"/>
        <w:rPr>
          <w:rFonts w:cs="Arial"/>
          <w:szCs w:val="24"/>
        </w:rPr>
      </w:pPr>
    </w:p>
    <w:p w14:paraId="23D500D9" w14:textId="4EC8198D" w:rsidR="00A678A9" w:rsidRPr="00A678A9" w:rsidRDefault="00A678A9" w:rsidP="00A678A9">
      <w:pPr>
        <w:autoSpaceDE w:val="0"/>
        <w:autoSpaceDN w:val="0"/>
        <w:adjustRightInd w:val="0"/>
        <w:spacing w:after="0"/>
        <w:jc w:val="both"/>
        <w:rPr>
          <w:rFonts w:eastAsia="Calibri" w:cs="Helvetica-Light"/>
          <w:b/>
          <w:color w:val="000000"/>
          <w:szCs w:val="24"/>
        </w:rPr>
      </w:pPr>
      <w:r w:rsidRPr="00D635BF">
        <w:rPr>
          <w:rFonts w:cs="Arial"/>
          <w:szCs w:val="24"/>
        </w:rPr>
        <w:t>The proposed delivery programme is broadly similar in scale to the forecast outturn for 2018/19 and may need to be updated when the actual outturn position is confirmed to reflect any re</w:t>
      </w:r>
      <w:r>
        <w:rPr>
          <w:rFonts w:cs="Arial"/>
          <w:szCs w:val="24"/>
        </w:rPr>
        <w:t>-</w:t>
      </w:r>
      <w:r w:rsidRPr="00D635BF">
        <w:rPr>
          <w:rFonts w:cs="Arial"/>
          <w:szCs w:val="24"/>
        </w:rPr>
        <w:t xml:space="preserve">profiling impact on 2019/20 that may be required.  </w:t>
      </w:r>
    </w:p>
    <w:p w14:paraId="7715E541" w14:textId="77777777" w:rsidR="00A678A9" w:rsidRPr="00A678A9" w:rsidRDefault="00A678A9" w:rsidP="003862D8">
      <w:pPr>
        <w:autoSpaceDE w:val="0"/>
        <w:autoSpaceDN w:val="0"/>
        <w:adjustRightInd w:val="0"/>
        <w:spacing w:after="0"/>
        <w:jc w:val="both"/>
        <w:rPr>
          <w:rFonts w:eastAsia="Calibri" w:cs="Helvetica-Light"/>
          <w:color w:val="000000"/>
          <w:szCs w:val="24"/>
        </w:rPr>
      </w:pPr>
    </w:p>
    <w:p w14:paraId="75901BB7" w14:textId="7367312D" w:rsidR="00AA35F3" w:rsidRPr="00A678A9" w:rsidRDefault="00F7294A"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11</w:t>
      </w:r>
    </w:p>
    <w:p w14:paraId="1A19FE06" w14:textId="77777777" w:rsidR="004B3701" w:rsidRPr="00DE45C1" w:rsidRDefault="004B3701" w:rsidP="001D0484">
      <w:pPr>
        <w:autoSpaceDE w:val="0"/>
        <w:autoSpaceDN w:val="0"/>
        <w:adjustRightInd w:val="0"/>
        <w:spacing w:after="0"/>
        <w:jc w:val="both"/>
        <w:rPr>
          <w:rFonts w:eastAsia="Calibri" w:cs="Helvetica-Light"/>
          <w:b/>
          <w:color w:val="000000"/>
          <w:szCs w:val="24"/>
          <w:highlight w:val="yellow"/>
          <w:u w:val="single"/>
        </w:rPr>
      </w:pPr>
    </w:p>
    <w:tbl>
      <w:tblPr>
        <w:tblW w:w="8921" w:type="dxa"/>
        <w:tblLayout w:type="fixed"/>
        <w:tblLook w:val="04A0" w:firstRow="1" w:lastRow="0" w:firstColumn="1" w:lastColumn="0" w:noHBand="0" w:noVBand="1"/>
      </w:tblPr>
      <w:tblGrid>
        <w:gridCol w:w="6936"/>
        <w:gridCol w:w="1985"/>
      </w:tblGrid>
      <w:tr w:rsidR="00A678A9" w:rsidRPr="00D635BF" w14:paraId="045A0818" w14:textId="77777777" w:rsidTr="00A678A9">
        <w:trPr>
          <w:trHeight w:val="1585"/>
        </w:trPr>
        <w:tc>
          <w:tcPr>
            <w:tcW w:w="693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E4AEBF4"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Programme</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48A120"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Initial indicative programme subject to profiling</w:t>
            </w:r>
          </w:p>
        </w:tc>
      </w:tr>
      <w:tr w:rsidR="00A678A9" w:rsidRPr="00D635BF" w14:paraId="53EBDF7F" w14:textId="77777777" w:rsidTr="00A678A9">
        <w:trPr>
          <w:trHeight w:val="215"/>
        </w:trPr>
        <w:tc>
          <w:tcPr>
            <w:tcW w:w="69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F52E6E"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Pr>
          <w:p w14:paraId="2D63421B"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Pr>
                <w:rFonts w:cs="Arial"/>
                <w:b/>
                <w:bCs/>
                <w:color w:val="000000"/>
                <w:szCs w:val="24"/>
                <w:lang w:eastAsia="en-GB"/>
              </w:rPr>
              <w:t>£m</w:t>
            </w:r>
          </w:p>
        </w:tc>
      </w:tr>
      <w:tr w:rsidR="00A678A9" w:rsidRPr="00D635BF" w14:paraId="06A73F27"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1AE9F53D"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Schools (</w:t>
            </w:r>
            <w:proofErr w:type="spellStart"/>
            <w:r w:rsidRPr="00D635BF">
              <w:rPr>
                <w:rFonts w:cs="Arial"/>
                <w:color w:val="000000"/>
                <w:szCs w:val="24"/>
                <w:lang w:eastAsia="en-GB"/>
              </w:rPr>
              <w:t>excl</w:t>
            </w:r>
            <w:proofErr w:type="spellEnd"/>
            <w:r w:rsidRPr="00D635BF">
              <w:rPr>
                <w:rFonts w:cs="Arial"/>
                <w:color w:val="000000"/>
                <w:szCs w:val="24"/>
                <w:lang w:eastAsia="en-GB"/>
              </w:rPr>
              <w:t xml:space="preserve"> DFC)</w:t>
            </w:r>
          </w:p>
        </w:tc>
        <w:tc>
          <w:tcPr>
            <w:tcW w:w="1985" w:type="dxa"/>
            <w:tcBorders>
              <w:top w:val="nil"/>
              <w:left w:val="nil"/>
              <w:bottom w:val="single" w:sz="8" w:space="0" w:color="auto"/>
              <w:right w:val="single" w:sz="8" w:space="0" w:color="auto"/>
            </w:tcBorders>
            <w:shd w:val="clear" w:color="auto" w:fill="auto"/>
            <w:vAlign w:val="center"/>
            <w:hideMark/>
          </w:tcPr>
          <w:p w14:paraId="5EFF63DF"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21.859</w:t>
            </w:r>
          </w:p>
        </w:tc>
      </w:tr>
      <w:tr w:rsidR="00A678A9" w:rsidRPr="00D635BF" w14:paraId="2A9C0755"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592E662D"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Schools DFC</w:t>
            </w:r>
          </w:p>
        </w:tc>
        <w:tc>
          <w:tcPr>
            <w:tcW w:w="1985" w:type="dxa"/>
            <w:tcBorders>
              <w:top w:val="nil"/>
              <w:left w:val="nil"/>
              <w:bottom w:val="single" w:sz="8" w:space="0" w:color="auto"/>
              <w:right w:val="single" w:sz="8" w:space="0" w:color="auto"/>
            </w:tcBorders>
            <w:shd w:val="clear" w:color="auto" w:fill="auto"/>
            <w:vAlign w:val="center"/>
            <w:hideMark/>
          </w:tcPr>
          <w:p w14:paraId="4FE1F5B5"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2.527</w:t>
            </w:r>
          </w:p>
        </w:tc>
      </w:tr>
      <w:tr w:rsidR="00A678A9" w:rsidRPr="00D635BF" w14:paraId="1D699B59"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3ED214E8"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 xml:space="preserve">Children &amp; Young People </w:t>
            </w:r>
          </w:p>
        </w:tc>
        <w:tc>
          <w:tcPr>
            <w:tcW w:w="1985" w:type="dxa"/>
            <w:tcBorders>
              <w:top w:val="nil"/>
              <w:left w:val="nil"/>
              <w:bottom w:val="single" w:sz="8" w:space="0" w:color="auto"/>
              <w:right w:val="single" w:sz="8" w:space="0" w:color="auto"/>
            </w:tcBorders>
            <w:shd w:val="clear" w:color="auto" w:fill="auto"/>
            <w:vAlign w:val="center"/>
            <w:hideMark/>
          </w:tcPr>
          <w:p w14:paraId="5B0301D1"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0.027</w:t>
            </w:r>
          </w:p>
        </w:tc>
      </w:tr>
      <w:tr w:rsidR="00A678A9" w:rsidRPr="00D635BF" w14:paraId="477B19E5"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777978CD"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 xml:space="preserve">Highways </w:t>
            </w:r>
          </w:p>
        </w:tc>
        <w:tc>
          <w:tcPr>
            <w:tcW w:w="1985" w:type="dxa"/>
            <w:tcBorders>
              <w:top w:val="nil"/>
              <w:left w:val="nil"/>
              <w:bottom w:val="single" w:sz="8" w:space="0" w:color="auto"/>
              <w:right w:val="single" w:sz="8" w:space="0" w:color="auto"/>
            </w:tcBorders>
            <w:shd w:val="clear" w:color="auto" w:fill="auto"/>
            <w:vAlign w:val="center"/>
            <w:hideMark/>
          </w:tcPr>
          <w:p w14:paraId="630EBD25"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46.776</w:t>
            </w:r>
          </w:p>
        </w:tc>
      </w:tr>
      <w:tr w:rsidR="00A678A9" w:rsidRPr="00D635BF" w14:paraId="736A5C38"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589D3DC8"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Transport</w:t>
            </w:r>
          </w:p>
        </w:tc>
        <w:tc>
          <w:tcPr>
            <w:tcW w:w="1985" w:type="dxa"/>
            <w:tcBorders>
              <w:top w:val="nil"/>
              <w:left w:val="nil"/>
              <w:bottom w:val="single" w:sz="8" w:space="0" w:color="auto"/>
              <w:right w:val="single" w:sz="8" w:space="0" w:color="auto"/>
            </w:tcBorders>
            <w:shd w:val="clear" w:color="auto" w:fill="auto"/>
            <w:vAlign w:val="center"/>
            <w:hideMark/>
          </w:tcPr>
          <w:p w14:paraId="3B9F902A"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30.128</w:t>
            </w:r>
          </w:p>
        </w:tc>
      </w:tr>
      <w:tr w:rsidR="00A678A9" w:rsidRPr="00D635BF" w14:paraId="20B24326"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5260BCB0"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Externally Funded schemes</w:t>
            </w:r>
          </w:p>
        </w:tc>
        <w:tc>
          <w:tcPr>
            <w:tcW w:w="1985" w:type="dxa"/>
            <w:tcBorders>
              <w:top w:val="nil"/>
              <w:left w:val="nil"/>
              <w:bottom w:val="single" w:sz="8" w:space="0" w:color="auto"/>
              <w:right w:val="single" w:sz="8" w:space="0" w:color="auto"/>
            </w:tcBorders>
            <w:shd w:val="clear" w:color="auto" w:fill="auto"/>
            <w:vAlign w:val="center"/>
            <w:hideMark/>
          </w:tcPr>
          <w:p w14:paraId="76E0949D"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0.111</w:t>
            </w:r>
          </w:p>
        </w:tc>
      </w:tr>
      <w:tr w:rsidR="00A678A9" w:rsidRPr="00D635BF" w14:paraId="3D932DB9"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71C6C2DF"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Waste &amp; Other</w:t>
            </w:r>
          </w:p>
        </w:tc>
        <w:tc>
          <w:tcPr>
            <w:tcW w:w="1985" w:type="dxa"/>
            <w:tcBorders>
              <w:top w:val="nil"/>
              <w:left w:val="nil"/>
              <w:bottom w:val="single" w:sz="8" w:space="0" w:color="auto"/>
              <w:right w:val="single" w:sz="8" w:space="0" w:color="auto"/>
            </w:tcBorders>
            <w:shd w:val="clear" w:color="auto" w:fill="auto"/>
            <w:vAlign w:val="center"/>
            <w:hideMark/>
          </w:tcPr>
          <w:p w14:paraId="0A2EB99B"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0.190</w:t>
            </w:r>
          </w:p>
        </w:tc>
      </w:tr>
      <w:tr w:rsidR="00A678A9" w:rsidRPr="00D635BF" w14:paraId="2BBA345F"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524DF7CF"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Adult Social Care</w:t>
            </w:r>
          </w:p>
        </w:tc>
        <w:tc>
          <w:tcPr>
            <w:tcW w:w="1985" w:type="dxa"/>
            <w:tcBorders>
              <w:top w:val="nil"/>
              <w:left w:val="nil"/>
              <w:bottom w:val="single" w:sz="8" w:space="0" w:color="auto"/>
              <w:right w:val="single" w:sz="8" w:space="0" w:color="auto"/>
            </w:tcBorders>
            <w:shd w:val="clear" w:color="auto" w:fill="auto"/>
            <w:vAlign w:val="center"/>
            <w:hideMark/>
          </w:tcPr>
          <w:p w14:paraId="640EED80"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13.654</w:t>
            </w:r>
          </w:p>
        </w:tc>
      </w:tr>
      <w:tr w:rsidR="00A678A9" w:rsidRPr="00D635BF" w14:paraId="70E380D7"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2177F76E"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Corporate</w:t>
            </w:r>
          </w:p>
        </w:tc>
        <w:tc>
          <w:tcPr>
            <w:tcW w:w="1985" w:type="dxa"/>
            <w:tcBorders>
              <w:top w:val="nil"/>
              <w:left w:val="nil"/>
              <w:bottom w:val="single" w:sz="8" w:space="0" w:color="auto"/>
              <w:right w:val="single" w:sz="8" w:space="0" w:color="auto"/>
            </w:tcBorders>
            <w:shd w:val="clear" w:color="auto" w:fill="auto"/>
            <w:vAlign w:val="center"/>
            <w:hideMark/>
          </w:tcPr>
          <w:p w14:paraId="1EC118DC"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11.297</w:t>
            </w:r>
          </w:p>
        </w:tc>
      </w:tr>
      <w:tr w:rsidR="00A678A9" w:rsidRPr="00D635BF" w14:paraId="58475126"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62D2BEE6"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Vehicles</w:t>
            </w:r>
          </w:p>
        </w:tc>
        <w:tc>
          <w:tcPr>
            <w:tcW w:w="1985" w:type="dxa"/>
            <w:tcBorders>
              <w:top w:val="nil"/>
              <w:left w:val="nil"/>
              <w:bottom w:val="single" w:sz="8" w:space="0" w:color="auto"/>
              <w:right w:val="single" w:sz="8" w:space="0" w:color="auto"/>
            </w:tcBorders>
            <w:shd w:val="clear" w:color="auto" w:fill="auto"/>
            <w:vAlign w:val="center"/>
            <w:hideMark/>
          </w:tcPr>
          <w:p w14:paraId="7A7AE8F1" w14:textId="77777777" w:rsidR="00A678A9" w:rsidRPr="00D635BF" w:rsidRDefault="00A678A9" w:rsidP="00E538C0">
            <w:pPr>
              <w:tabs>
                <w:tab w:val="left" w:pos="567"/>
                <w:tab w:val="left" w:pos="1134"/>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3.720</w:t>
            </w:r>
          </w:p>
        </w:tc>
      </w:tr>
      <w:tr w:rsidR="00A678A9" w:rsidRPr="00D635BF" w14:paraId="3F735DB1" w14:textId="77777777" w:rsidTr="00A678A9">
        <w:trPr>
          <w:trHeight w:val="329"/>
        </w:trPr>
        <w:tc>
          <w:tcPr>
            <w:tcW w:w="6936" w:type="dxa"/>
            <w:tcBorders>
              <w:top w:val="nil"/>
              <w:left w:val="single" w:sz="8" w:space="0" w:color="auto"/>
              <w:bottom w:val="single" w:sz="8" w:space="0" w:color="auto"/>
              <w:right w:val="single" w:sz="8" w:space="0" w:color="auto"/>
            </w:tcBorders>
            <w:shd w:val="clear" w:color="auto" w:fill="auto"/>
            <w:vAlign w:val="center"/>
            <w:hideMark/>
          </w:tcPr>
          <w:p w14:paraId="4300F25A" w14:textId="77777777" w:rsidR="00A678A9" w:rsidRPr="00D635BF" w:rsidRDefault="00A678A9" w:rsidP="00E538C0">
            <w:pPr>
              <w:tabs>
                <w:tab w:val="left" w:pos="567"/>
                <w:tab w:val="left" w:pos="1134"/>
                <w:tab w:val="left" w:pos="1701"/>
              </w:tabs>
              <w:spacing w:after="0" w:line="240" w:lineRule="auto"/>
              <w:rPr>
                <w:rFonts w:cs="Arial"/>
                <w:b/>
                <w:bCs/>
                <w:color w:val="000000"/>
                <w:szCs w:val="24"/>
                <w:lang w:eastAsia="en-GB"/>
              </w:rPr>
            </w:pPr>
            <w:r w:rsidRPr="00D635BF">
              <w:rPr>
                <w:rFonts w:cs="Arial"/>
                <w:b/>
                <w:bCs/>
                <w:color w:val="000000"/>
                <w:szCs w:val="24"/>
                <w:lang w:eastAsia="en-GB"/>
              </w:rPr>
              <w:t>Total</w:t>
            </w:r>
          </w:p>
        </w:tc>
        <w:tc>
          <w:tcPr>
            <w:tcW w:w="1985" w:type="dxa"/>
            <w:tcBorders>
              <w:top w:val="nil"/>
              <w:left w:val="nil"/>
              <w:bottom w:val="single" w:sz="8" w:space="0" w:color="auto"/>
              <w:right w:val="single" w:sz="8" w:space="0" w:color="auto"/>
            </w:tcBorders>
            <w:shd w:val="clear" w:color="auto" w:fill="auto"/>
            <w:vAlign w:val="center"/>
            <w:hideMark/>
          </w:tcPr>
          <w:p w14:paraId="6A830568" w14:textId="77777777" w:rsidR="00A678A9" w:rsidRPr="00D635BF" w:rsidRDefault="00A678A9" w:rsidP="00E538C0">
            <w:pPr>
              <w:tabs>
                <w:tab w:val="left" w:pos="567"/>
                <w:tab w:val="left" w:pos="1134"/>
                <w:tab w:val="left" w:pos="1701"/>
              </w:tabs>
              <w:spacing w:after="0" w:line="240" w:lineRule="auto"/>
              <w:ind w:right="317"/>
              <w:jc w:val="right"/>
              <w:rPr>
                <w:rFonts w:cs="Arial"/>
                <w:b/>
                <w:bCs/>
                <w:color w:val="000000"/>
                <w:szCs w:val="24"/>
                <w:lang w:eastAsia="en-GB"/>
              </w:rPr>
            </w:pPr>
            <w:r w:rsidRPr="00D635BF">
              <w:rPr>
                <w:rFonts w:cs="Arial"/>
                <w:b/>
                <w:bCs/>
                <w:color w:val="000000"/>
                <w:szCs w:val="24"/>
                <w:lang w:eastAsia="en-GB"/>
              </w:rPr>
              <w:t>130.289</w:t>
            </w:r>
          </w:p>
        </w:tc>
      </w:tr>
    </w:tbl>
    <w:p w14:paraId="51DA4E77" w14:textId="77777777" w:rsidR="00CE14AC" w:rsidRDefault="00CE14AC" w:rsidP="00BA4717">
      <w:pPr>
        <w:autoSpaceDE w:val="0"/>
        <w:autoSpaceDN w:val="0"/>
        <w:adjustRightInd w:val="0"/>
        <w:spacing w:after="0"/>
        <w:jc w:val="both"/>
        <w:rPr>
          <w:rFonts w:eastAsia="Calibri" w:cs="Helvetica-Light"/>
          <w:color w:val="000000"/>
          <w:szCs w:val="24"/>
          <w:highlight w:val="yellow"/>
        </w:rPr>
      </w:pPr>
    </w:p>
    <w:p w14:paraId="46BD4A74" w14:textId="77777777" w:rsidR="005D7B41" w:rsidRDefault="005D7B41" w:rsidP="00BA4717">
      <w:pPr>
        <w:autoSpaceDE w:val="0"/>
        <w:autoSpaceDN w:val="0"/>
        <w:adjustRightInd w:val="0"/>
        <w:spacing w:after="0"/>
        <w:jc w:val="both"/>
        <w:rPr>
          <w:rFonts w:eastAsia="Calibri" w:cs="Helvetica-Light"/>
          <w:color w:val="000000"/>
          <w:szCs w:val="24"/>
          <w:highlight w:val="yellow"/>
        </w:rPr>
      </w:pPr>
    </w:p>
    <w:p w14:paraId="66DE1895" w14:textId="77777777" w:rsidR="005D7B41" w:rsidRDefault="005D7B41" w:rsidP="001D0484">
      <w:pPr>
        <w:autoSpaceDE w:val="0"/>
        <w:autoSpaceDN w:val="0"/>
        <w:adjustRightInd w:val="0"/>
        <w:spacing w:after="0"/>
        <w:contextualSpacing/>
        <w:jc w:val="both"/>
        <w:rPr>
          <w:rFonts w:eastAsia="Calibri" w:cs="Helvetica-Light"/>
          <w:color w:val="000000"/>
          <w:szCs w:val="24"/>
          <w:highlight w:val="yellow"/>
        </w:rPr>
      </w:pPr>
    </w:p>
    <w:p w14:paraId="026244B4" w14:textId="4DF570A0" w:rsidR="00AA35F3" w:rsidRPr="00A678A9" w:rsidRDefault="00F7294A"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t>6</w:t>
      </w:r>
      <w:r w:rsidR="0026320C" w:rsidRPr="00A678A9">
        <w:rPr>
          <w:rFonts w:eastAsia="Calibri" w:cs="Helvetica-Light"/>
          <w:i/>
          <w:color w:val="000000"/>
          <w:szCs w:val="24"/>
        </w:rPr>
        <w:t>.</w:t>
      </w:r>
      <w:r w:rsidR="00C95E4F" w:rsidRPr="00A678A9">
        <w:rPr>
          <w:rFonts w:eastAsia="Calibri" w:cs="Helvetica-Light"/>
          <w:i/>
          <w:color w:val="000000"/>
          <w:szCs w:val="24"/>
        </w:rPr>
        <w:t>2</w:t>
      </w:r>
      <w:r w:rsidR="0026320C" w:rsidRPr="00A678A9">
        <w:rPr>
          <w:rFonts w:eastAsia="Calibri" w:cs="Helvetica-Light"/>
          <w:i/>
          <w:color w:val="000000"/>
          <w:szCs w:val="24"/>
        </w:rPr>
        <w:t xml:space="preserve"> </w:t>
      </w:r>
      <w:r w:rsidR="00A678A9">
        <w:rPr>
          <w:rFonts w:eastAsia="Calibri" w:cs="Helvetica-Light"/>
          <w:i/>
          <w:color w:val="000000"/>
          <w:szCs w:val="24"/>
        </w:rPr>
        <w:t>Proposed Funding</w:t>
      </w:r>
    </w:p>
    <w:p w14:paraId="0EF26285" w14:textId="77777777" w:rsidR="0026320C" w:rsidRPr="00DE45C1" w:rsidRDefault="0026320C" w:rsidP="001D0484">
      <w:pPr>
        <w:autoSpaceDE w:val="0"/>
        <w:autoSpaceDN w:val="0"/>
        <w:adjustRightInd w:val="0"/>
        <w:spacing w:after="0"/>
        <w:contextualSpacing/>
        <w:jc w:val="both"/>
        <w:rPr>
          <w:rFonts w:eastAsia="Calibri" w:cs="Helvetica-Light"/>
          <w:color w:val="000000"/>
          <w:szCs w:val="24"/>
          <w:highlight w:val="yellow"/>
        </w:rPr>
      </w:pPr>
    </w:p>
    <w:p w14:paraId="2104A26B" w14:textId="2CBD2AD7" w:rsidR="00A678A9" w:rsidRDefault="00AA35F3" w:rsidP="005C5B54">
      <w:pPr>
        <w:autoSpaceDE w:val="0"/>
        <w:autoSpaceDN w:val="0"/>
        <w:adjustRightInd w:val="0"/>
        <w:spacing w:after="0"/>
        <w:jc w:val="both"/>
        <w:rPr>
          <w:rFonts w:eastAsia="Calibri" w:cs="Helvetica-Light"/>
          <w:color w:val="000000"/>
          <w:szCs w:val="24"/>
        </w:rPr>
      </w:pPr>
      <w:r w:rsidRPr="00A678A9">
        <w:rPr>
          <w:rFonts w:eastAsia="Calibri" w:cs="Helvetica-Light"/>
          <w:color w:val="000000"/>
          <w:szCs w:val="24"/>
        </w:rPr>
        <w:t>The capital</w:t>
      </w:r>
      <w:r w:rsidR="005D7B41">
        <w:rPr>
          <w:rFonts w:eastAsia="Calibri" w:cs="Helvetica-Light"/>
          <w:color w:val="000000"/>
          <w:szCs w:val="24"/>
        </w:rPr>
        <w:t xml:space="preserve"> delivery</w:t>
      </w:r>
      <w:r w:rsidRPr="00A678A9">
        <w:rPr>
          <w:rFonts w:eastAsia="Calibri" w:cs="Helvetica-Light"/>
          <w:color w:val="000000"/>
          <w:szCs w:val="24"/>
        </w:rPr>
        <w:t xml:space="preserve"> programme is currently funded by a variety of funding streams </w:t>
      </w:r>
      <w:r w:rsidR="00A678A9">
        <w:rPr>
          <w:rFonts w:eastAsia="Calibri" w:cs="Helvetica-Light"/>
          <w:color w:val="000000"/>
          <w:szCs w:val="24"/>
        </w:rPr>
        <w:t>as shown in table 1</w:t>
      </w:r>
      <w:r w:rsidR="00515C87">
        <w:rPr>
          <w:rFonts w:eastAsia="Calibri" w:cs="Helvetica-Light"/>
          <w:color w:val="000000"/>
          <w:szCs w:val="24"/>
        </w:rPr>
        <w:t>2</w:t>
      </w:r>
      <w:r w:rsidR="00A678A9">
        <w:rPr>
          <w:rFonts w:eastAsia="Calibri" w:cs="Helvetica-Light"/>
          <w:color w:val="000000"/>
          <w:szCs w:val="24"/>
        </w:rPr>
        <w:t xml:space="preserve"> below: </w:t>
      </w:r>
    </w:p>
    <w:p w14:paraId="726726B2" w14:textId="37F40625" w:rsidR="00A678A9" w:rsidRPr="00A678A9" w:rsidRDefault="00F7294A" w:rsidP="005C5B5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12</w:t>
      </w:r>
    </w:p>
    <w:p w14:paraId="37A71A13" w14:textId="77777777" w:rsidR="00A678A9" w:rsidRDefault="00A678A9" w:rsidP="005C5B54">
      <w:pPr>
        <w:autoSpaceDE w:val="0"/>
        <w:autoSpaceDN w:val="0"/>
        <w:adjustRightInd w:val="0"/>
        <w:spacing w:after="0"/>
        <w:jc w:val="both"/>
        <w:rPr>
          <w:rFonts w:eastAsia="Calibri" w:cs="Helvetica-Light"/>
          <w:color w:val="000000"/>
          <w:szCs w:val="24"/>
          <w:highlight w:val="yellow"/>
        </w:rPr>
      </w:pPr>
    </w:p>
    <w:tbl>
      <w:tblPr>
        <w:tblW w:w="9062" w:type="dxa"/>
        <w:tblLayout w:type="fixed"/>
        <w:tblLook w:val="04A0" w:firstRow="1" w:lastRow="0" w:firstColumn="1" w:lastColumn="0" w:noHBand="0" w:noVBand="1"/>
      </w:tblPr>
      <w:tblGrid>
        <w:gridCol w:w="2684"/>
        <w:gridCol w:w="1701"/>
        <w:gridCol w:w="1417"/>
        <w:gridCol w:w="1418"/>
        <w:gridCol w:w="1842"/>
      </w:tblGrid>
      <w:tr w:rsidR="00A678A9" w:rsidRPr="00D635BF" w14:paraId="427FBF83" w14:textId="77777777" w:rsidTr="00E538C0">
        <w:trPr>
          <w:trHeight w:val="1228"/>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D72EA24" w14:textId="77777777" w:rsidR="00A678A9" w:rsidRPr="00D635BF" w:rsidRDefault="00A678A9" w:rsidP="00E538C0">
            <w:pPr>
              <w:tabs>
                <w:tab w:val="left" w:pos="567"/>
                <w:tab w:val="left" w:pos="1134"/>
                <w:tab w:val="left" w:pos="1701"/>
              </w:tabs>
              <w:rPr>
                <w:rFonts w:cs="Arial"/>
                <w:b/>
                <w:bCs/>
                <w:color w:val="000000"/>
                <w:szCs w:val="24"/>
                <w:lang w:eastAsia="en-GB"/>
              </w:rPr>
            </w:pPr>
            <w:r w:rsidRPr="00D635BF">
              <w:rPr>
                <w:rFonts w:cs="Arial"/>
                <w:b/>
                <w:bCs/>
                <w:color w:val="000000"/>
                <w:szCs w:val="24"/>
                <w:lang w:eastAsia="en-GB"/>
              </w:rPr>
              <w:t xml:space="preserve">Programme </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C8D5871"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Initial indicative pr</w:t>
            </w:r>
            <w:r>
              <w:rPr>
                <w:rFonts w:cs="Arial"/>
                <w:b/>
                <w:bCs/>
                <w:color w:val="000000"/>
                <w:szCs w:val="24"/>
                <w:lang w:eastAsia="en-GB"/>
              </w:rPr>
              <w:t>ogramme subject to profiling</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586E083"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Funded by borrowing</w:t>
            </w:r>
            <w:r>
              <w:rPr>
                <w:rFonts w:cs="Arial"/>
                <w:b/>
                <w:bCs/>
                <w:color w:val="000000"/>
                <w:szCs w:val="24"/>
                <w:lang w:eastAsia="en-GB"/>
              </w:rPr>
              <w:t xml:space="preserve"> </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5FC600"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Funded by Grant</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3BC19F"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sidRPr="00D635BF">
              <w:rPr>
                <w:rFonts w:cs="Arial"/>
                <w:b/>
                <w:bCs/>
                <w:color w:val="000000"/>
                <w:szCs w:val="24"/>
                <w:lang w:eastAsia="en-GB"/>
              </w:rPr>
              <w:t>Funded by Contributions/</w:t>
            </w:r>
            <w:r>
              <w:rPr>
                <w:rFonts w:cs="Arial"/>
                <w:b/>
                <w:bCs/>
                <w:color w:val="000000"/>
                <w:szCs w:val="24"/>
                <w:lang w:eastAsia="en-GB"/>
              </w:rPr>
              <w:t xml:space="preserve"> </w:t>
            </w:r>
            <w:r w:rsidRPr="00D635BF">
              <w:rPr>
                <w:rFonts w:cs="Arial"/>
                <w:b/>
                <w:bCs/>
                <w:color w:val="000000"/>
                <w:szCs w:val="24"/>
                <w:lang w:eastAsia="en-GB"/>
              </w:rPr>
              <w:t>Other funding sources</w:t>
            </w:r>
          </w:p>
        </w:tc>
      </w:tr>
      <w:tr w:rsidR="00A678A9" w:rsidRPr="00D635BF" w14:paraId="50EDDA6D" w14:textId="77777777" w:rsidTr="00E538C0">
        <w:trPr>
          <w:trHeight w:val="276"/>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E2DAC2" w14:textId="77777777" w:rsidR="00A678A9" w:rsidRPr="00D635BF" w:rsidRDefault="00A678A9" w:rsidP="00E538C0">
            <w:pPr>
              <w:tabs>
                <w:tab w:val="left" w:pos="567"/>
                <w:tab w:val="left" w:pos="1134"/>
                <w:tab w:val="left" w:pos="1701"/>
              </w:tabs>
              <w:spacing w:after="0"/>
              <w:rPr>
                <w:rFonts w:cs="Arial"/>
                <w:b/>
                <w:bCs/>
                <w:color w:val="000000"/>
                <w:szCs w:val="24"/>
                <w:lang w:eastAsia="en-GB"/>
              </w:rPr>
            </w:pP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EEF19F8"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Pr>
                <w:rFonts w:cs="Arial"/>
                <w:b/>
                <w:bCs/>
                <w:color w:val="000000"/>
                <w:szCs w:val="24"/>
                <w:lang w:eastAsia="en-GB"/>
              </w:rPr>
              <w:t>£m</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5C42299"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Pr>
                <w:rFonts w:cs="Arial"/>
                <w:b/>
                <w:bCs/>
                <w:color w:val="000000"/>
                <w:szCs w:val="24"/>
                <w:lang w:eastAsia="en-GB"/>
              </w:rPr>
              <w:t>£m</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07029D1"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Pr>
                <w:rFonts w:cs="Arial"/>
                <w:b/>
                <w:bCs/>
                <w:color w:val="000000"/>
                <w:szCs w:val="24"/>
                <w:lang w:eastAsia="en-GB"/>
              </w:rPr>
              <w:t>£m</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A00EF6C" w14:textId="77777777" w:rsidR="00A678A9" w:rsidRPr="00D635BF" w:rsidRDefault="00A678A9" w:rsidP="00E538C0">
            <w:pPr>
              <w:tabs>
                <w:tab w:val="left" w:pos="567"/>
                <w:tab w:val="left" w:pos="1134"/>
                <w:tab w:val="left" w:pos="1701"/>
              </w:tabs>
              <w:spacing w:after="0" w:line="240" w:lineRule="auto"/>
              <w:jc w:val="center"/>
              <w:rPr>
                <w:rFonts w:cs="Arial"/>
                <w:b/>
                <w:bCs/>
                <w:color w:val="000000"/>
                <w:szCs w:val="24"/>
                <w:lang w:eastAsia="en-GB"/>
              </w:rPr>
            </w:pPr>
            <w:r>
              <w:rPr>
                <w:rFonts w:cs="Arial"/>
                <w:b/>
                <w:bCs/>
                <w:color w:val="000000"/>
                <w:szCs w:val="24"/>
                <w:lang w:eastAsia="en-GB"/>
              </w:rPr>
              <w:t>£m</w:t>
            </w:r>
          </w:p>
        </w:tc>
      </w:tr>
      <w:tr w:rsidR="00A678A9" w:rsidRPr="00D635BF" w14:paraId="3BF372B4" w14:textId="77777777" w:rsidTr="00E538C0">
        <w:trPr>
          <w:trHeight w:val="35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FE1596B"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Schools (</w:t>
            </w:r>
            <w:proofErr w:type="spellStart"/>
            <w:r w:rsidRPr="00D635BF">
              <w:rPr>
                <w:rFonts w:cs="Arial"/>
                <w:color w:val="000000"/>
                <w:szCs w:val="24"/>
                <w:lang w:eastAsia="en-GB"/>
              </w:rPr>
              <w:t>excl</w:t>
            </w:r>
            <w:proofErr w:type="spellEnd"/>
            <w:r w:rsidRPr="00D635BF">
              <w:rPr>
                <w:rFonts w:cs="Arial"/>
                <w:color w:val="000000"/>
                <w:szCs w:val="24"/>
                <w:lang w:eastAsia="en-GB"/>
              </w:rPr>
              <w:t xml:space="preserve"> DFC)</w:t>
            </w:r>
          </w:p>
        </w:tc>
        <w:tc>
          <w:tcPr>
            <w:tcW w:w="1701" w:type="dxa"/>
            <w:tcBorders>
              <w:top w:val="nil"/>
              <w:left w:val="nil"/>
              <w:bottom w:val="single" w:sz="8" w:space="0" w:color="auto"/>
              <w:right w:val="single" w:sz="8" w:space="0" w:color="auto"/>
            </w:tcBorders>
            <w:shd w:val="clear" w:color="auto" w:fill="auto"/>
            <w:vAlign w:val="center"/>
            <w:hideMark/>
          </w:tcPr>
          <w:p w14:paraId="13304533"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21.859</w:t>
            </w:r>
          </w:p>
        </w:tc>
        <w:tc>
          <w:tcPr>
            <w:tcW w:w="1417" w:type="dxa"/>
            <w:tcBorders>
              <w:top w:val="nil"/>
              <w:left w:val="nil"/>
              <w:bottom w:val="single" w:sz="8" w:space="0" w:color="auto"/>
              <w:right w:val="single" w:sz="8" w:space="0" w:color="auto"/>
            </w:tcBorders>
            <w:shd w:val="clear" w:color="auto" w:fill="auto"/>
            <w:vAlign w:val="center"/>
            <w:hideMark/>
          </w:tcPr>
          <w:p w14:paraId="3DDB7B83"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0.000</w:t>
            </w:r>
          </w:p>
        </w:tc>
        <w:tc>
          <w:tcPr>
            <w:tcW w:w="1418" w:type="dxa"/>
            <w:tcBorders>
              <w:top w:val="nil"/>
              <w:left w:val="nil"/>
              <w:bottom w:val="single" w:sz="8" w:space="0" w:color="auto"/>
              <w:right w:val="single" w:sz="8" w:space="0" w:color="auto"/>
            </w:tcBorders>
            <w:shd w:val="clear" w:color="auto" w:fill="auto"/>
            <w:vAlign w:val="center"/>
            <w:hideMark/>
          </w:tcPr>
          <w:p w14:paraId="281E1D18"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21.859</w:t>
            </w:r>
          </w:p>
        </w:tc>
        <w:tc>
          <w:tcPr>
            <w:tcW w:w="1842" w:type="dxa"/>
            <w:tcBorders>
              <w:top w:val="nil"/>
              <w:left w:val="nil"/>
              <w:bottom w:val="single" w:sz="8" w:space="0" w:color="auto"/>
              <w:right w:val="single" w:sz="8" w:space="0" w:color="auto"/>
            </w:tcBorders>
            <w:shd w:val="clear" w:color="auto" w:fill="auto"/>
            <w:vAlign w:val="center"/>
            <w:hideMark/>
          </w:tcPr>
          <w:p w14:paraId="264EE6A8"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3E767B97"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5843BA9"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Schools DFC</w:t>
            </w:r>
          </w:p>
        </w:tc>
        <w:tc>
          <w:tcPr>
            <w:tcW w:w="1701" w:type="dxa"/>
            <w:tcBorders>
              <w:top w:val="nil"/>
              <w:left w:val="nil"/>
              <w:bottom w:val="single" w:sz="8" w:space="0" w:color="auto"/>
              <w:right w:val="single" w:sz="8" w:space="0" w:color="auto"/>
            </w:tcBorders>
            <w:shd w:val="clear" w:color="auto" w:fill="auto"/>
            <w:vAlign w:val="center"/>
            <w:hideMark/>
          </w:tcPr>
          <w:p w14:paraId="3CF174D2"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2.527</w:t>
            </w:r>
          </w:p>
        </w:tc>
        <w:tc>
          <w:tcPr>
            <w:tcW w:w="1417" w:type="dxa"/>
            <w:tcBorders>
              <w:top w:val="nil"/>
              <w:left w:val="nil"/>
              <w:bottom w:val="single" w:sz="8" w:space="0" w:color="auto"/>
              <w:right w:val="single" w:sz="8" w:space="0" w:color="auto"/>
            </w:tcBorders>
            <w:shd w:val="clear" w:color="auto" w:fill="auto"/>
            <w:vAlign w:val="center"/>
            <w:hideMark/>
          </w:tcPr>
          <w:p w14:paraId="161B7F7F"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0.000</w:t>
            </w:r>
          </w:p>
        </w:tc>
        <w:tc>
          <w:tcPr>
            <w:tcW w:w="1418" w:type="dxa"/>
            <w:tcBorders>
              <w:top w:val="nil"/>
              <w:left w:val="nil"/>
              <w:bottom w:val="single" w:sz="8" w:space="0" w:color="auto"/>
              <w:right w:val="single" w:sz="8" w:space="0" w:color="auto"/>
            </w:tcBorders>
            <w:shd w:val="clear" w:color="auto" w:fill="auto"/>
            <w:vAlign w:val="center"/>
            <w:hideMark/>
          </w:tcPr>
          <w:p w14:paraId="37F6F17F"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2.527</w:t>
            </w:r>
          </w:p>
        </w:tc>
        <w:tc>
          <w:tcPr>
            <w:tcW w:w="1842" w:type="dxa"/>
            <w:tcBorders>
              <w:top w:val="nil"/>
              <w:left w:val="nil"/>
              <w:bottom w:val="single" w:sz="8" w:space="0" w:color="auto"/>
              <w:right w:val="single" w:sz="8" w:space="0" w:color="auto"/>
            </w:tcBorders>
            <w:shd w:val="clear" w:color="auto" w:fill="auto"/>
            <w:vAlign w:val="center"/>
            <w:hideMark/>
          </w:tcPr>
          <w:p w14:paraId="179B5E1F"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4F287237"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2702FC3"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 xml:space="preserve">Children &amp; Young People </w:t>
            </w:r>
          </w:p>
        </w:tc>
        <w:tc>
          <w:tcPr>
            <w:tcW w:w="1701" w:type="dxa"/>
            <w:tcBorders>
              <w:top w:val="nil"/>
              <w:left w:val="nil"/>
              <w:bottom w:val="single" w:sz="8" w:space="0" w:color="auto"/>
              <w:right w:val="single" w:sz="8" w:space="0" w:color="auto"/>
            </w:tcBorders>
            <w:shd w:val="clear" w:color="auto" w:fill="auto"/>
            <w:vAlign w:val="center"/>
            <w:hideMark/>
          </w:tcPr>
          <w:p w14:paraId="04E538DD"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0.027</w:t>
            </w:r>
          </w:p>
        </w:tc>
        <w:tc>
          <w:tcPr>
            <w:tcW w:w="1417" w:type="dxa"/>
            <w:tcBorders>
              <w:top w:val="nil"/>
              <w:left w:val="nil"/>
              <w:bottom w:val="single" w:sz="8" w:space="0" w:color="auto"/>
              <w:right w:val="single" w:sz="8" w:space="0" w:color="auto"/>
            </w:tcBorders>
            <w:shd w:val="clear" w:color="auto" w:fill="auto"/>
            <w:vAlign w:val="center"/>
            <w:hideMark/>
          </w:tcPr>
          <w:p w14:paraId="68C334C6"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0.027</w:t>
            </w:r>
          </w:p>
        </w:tc>
        <w:tc>
          <w:tcPr>
            <w:tcW w:w="1418" w:type="dxa"/>
            <w:tcBorders>
              <w:top w:val="nil"/>
              <w:left w:val="nil"/>
              <w:bottom w:val="single" w:sz="8" w:space="0" w:color="auto"/>
              <w:right w:val="single" w:sz="8" w:space="0" w:color="auto"/>
            </w:tcBorders>
            <w:shd w:val="clear" w:color="auto" w:fill="auto"/>
            <w:vAlign w:val="center"/>
            <w:hideMark/>
          </w:tcPr>
          <w:p w14:paraId="23CC7C81"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0.000</w:t>
            </w:r>
          </w:p>
        </w:tc>
        <w:tc>
          <w:tcPr>
            <w:tcW w:w="1842" w:type="dxa"/>
            <w:tcBorders>
              <w:top w:val="nil"/>
              <w:left w:val="nil"/>
              <w:bottom w:val="single" w:sz="8" w:space="0" w:color="auto"/>
              <w:right w:val="single" w:sz="8" w:space="0" w:color="auto"/>
            </w:tcBorders>
            <w:shd w:val="clear" w:color="auto" w:fill="auto"/>
            <w:vAlign w:val="center"/>
            <w:hideMark/>
          </w:tcPr>
          <w:p w14:paraId="76D11BE7"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1E732DAF"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DB28736"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 xml:space="preserve">Highways </w:t>
            </w:r>
          </w:p>
        </w:tc>
        <w:tc>
          <w:tcPr>
            <w:tcW w:w="1701" w:type="dxa"/>
            <w:tcBorders>
              <w:top w:val="nil"/>
              <w:left w:val="nil"/>
              <w:bottom w:val="single" w:sz="8" w:space="0" w:color="auto"/>
              <w:right w:val="single" w:sz="8" w:space="0" w:color="auto"/>
            </w:tcBorders>
            <w:shd w:val="clear" w:color="auto" w:fill="auto"/>
            <w:vAlign w:val="center"/>
            <w:hideMark/>
          </w:tcPr>
          <w:p w14:paraId="24FA1DA7"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46.776</w:t>
            </w:r>
          </w:p>
        </w:tc>
        <w:tc>
          <w:tcPr>
            <w:tcW w:w="1417" w:type="dxa"/>
            <w:tcBorders>
              <w:top w:val="nil"/>
              <w:left w:val="nil"/>
              <w:bottom w:val="single" w:sz="8" w:space="0" w:color="auto"/>
              <w:right w:val="single" w:sz="8" w:space="0" w:color="auto"/>
            </w:tcBorders>
            <w:shd w:val="clear" w:color="auto" w:fill="auto"/>
            <w:vAlign w:val="center"/>
            <w:hideMark/>
          </w:tcPr>
          <w:p w14:paraId="2A504CE3"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16.190</w:t>
            </w:r>
          </w:p>
        </w:tc>
        <w:tc>
          <w:tcPr>
            <w:tcW w:w="1418" w:type="dxa"/>
            <w:tcBorders>
              <w:top w:val="nil"/>
              <w:left w:val="nil"/>
              <w:bottom w:val="single" w:sz="8" w:space="0" w:color="auto"/>
              <w:right w:val="single" w:sz="8" w:space="0" w:color="auto"/>
            </w:tcBorders>
            <w:shd w:val="clear" w:color="auto" w:fill="auto"/>
            <w:vAlign w:val="center"/>
            <w:hideMark/>
          </w:tcPr>
          <w:p w14:paraId="65A2634D"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26.037</w:t>
            </w:r>
          </w:p>
        </w:tc>
        <w:tc>
          <w:tcPr>
            <w:tcW w:w="1842" w:type="dxa"/>
            <w:tcBorders>
              <w:top w:val="nil"/>
              <w:left w:val="nil"/>
              <w:bottom w:val="single" w:sz="8" w:space="0" w:color="auto"/>
              <w:right w:val="single" w:sz="8" w:space="0" w:color="auto"/>
            </w:tcBorders>
            <w:shd w:val="clear" w:color="auto" w:fill="auto"/>
            <w:vAlign w:val="center"/>
            <w:hideMark/>
          </w:tcPr>
          <w:p w14:paraId="21C85BB7"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4.549</w:t>
            </w:r>
          </w:p>
        </w:tc>
      </w:tr>
      <w:tr w:rsidR="00A678A9" w:rsidRPr="00D635BF" w14:paraId="3021EB8C"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3AC60E0"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Transport</w:t>
            </w:r>
          </w:p>
        </w:tc>
        <w:tc>
          <w:tcPr>
            <w:tcW w:w="1701" w:type="dxa"/>
            <w:tcBorders>
              <w:top w:val="nil"/>
              <w:left w:val="nil"/>
              <w:bottom w:val="single" w:sz="8" w:space="0" w:color="auto"/>
              <w:right w:val="single" w:sz="8" w:space="0" w:color="auto"/>
            </w:tcBorders>
            <w:shd w:val="clear" w:color="auto" w:fill="auto"/>
            <w:vAlign w:val="center"/>
            <w:hideMark/>
          </w:tcPr>
          <w:p w14:paraId="470D4419"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30.128</w:t>
            </w:r>
          </w:p>
        </w:tc>
        <w:tc>
          <w:tcPr>
            <w:tcW w:w="1417" w:type="dxa"/>
            <w:tcBorders>
              <w:top w:val="nil"/>
              <w:left w:val="nil"/>
              <w:bottom w:val="single" w:sz="8" w:space="0" w:color="auto"/>
              <w:right w:val="single" w:sz="8" w:space="0" w:color="auto"/>
            </w:tcBorders>
            <w:shd w:val="clear" w:color="auto" w:fill="auto"/>
            <w:vAlign w:val="center"/>
            <w:hideMark/>
          </w:tcPr>
          <w:p w14:paraId="62FA3AF0"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3.500</w:t>
            </w:r>
          </w:p>
        </w:tc>
        <w:tc>
          <w:tcPr>
            <w:tcW w:w="1418" w:type="dxa"/>
            <w:tcBorders>
              <w:top w:val="nil"/>
              <w:left w:val="nil"/>
              <w:bottom w:val="single" w:sz="8" w:space="0" w:color="auto"/>
              <w:right w:val="single" w:sz="8" w:space="0" w:color="auto"/>
            </w:tcBorders>
            <w:shd w:val="clear" w:color="auto" w:fill="auto"/>
            <w:vAlign w:val="center"/>
            <w:hideMark/>
          </w:tcPr>
          <w:p w14:paraId="34B3EA72"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23.907</w:t>
            </w:r>
          </w:p>
        </w:tc>
        <w:tc>
          <w:tcPr>
            <w:tcW w:w="1842" w:type="dxa"/>
            <w:tcBorders>
              <w:top w:val="nil"/>
              <w:left w:val="nil"/>
              <w:bottom w:val="single" w:sz="8" w:space="0" w:color="auto"/>
              <w:right w:val="single" w:sz="8" w:space="0" w:color="auto"/>
            </w:tcBorders>
            <w:shd w:val="clear" w:color="auto" w:fill="auto"/>
            <w:vAlign w:val="center"/>
            <w:hideMark/>
          </w:tcPr>
          <w:p w14:paraId="7535E869"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2.721</w:t>
            </w:r>
          </w:p>
        </w:tc>
      </w:tr>
      <w:tr w:rsidR="00A678A9" w:rsidRPr="00D635BF" w14:paraId="0D1651D1"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05626D0"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Externally Funded schemes</w:t>
            </w:r>
          </w:p>
        </w:tc>
        <w:tc>
          <w:tcPr>
            <w:tcW w:w="1701" w:type="dxa"/>
            <w:tcBorders>
              <w:top w:val="nil"/>
              <w:left w:val="nil"/>
              <w:bottom w:val="single" w:sz="8" w:space="0" w:color="auto"/>
              <w:right w:val="single" w:sz="8" w:space="0" w:color="auto"/>
            </w:tcBorders>
            <w:shd w:val="clear" w:color="auto" w:fill="auto"/>
            <w:vAlign w:val="center"/>
            <w:hideMark/>
          </w:tcPr>
          <w:p w14:paraId="241BC1F2"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0.111</w:t>
            </w:r>
          </w:p>
        </w:tc>
        <w:tc>
          <w:tcPr>
            <w:tcW w:w="1417" w:type="dxa"/>
            <w:tcBorders>
              <w:top w:val="nil"/>
              <w:left w:val="nil"/>
              <w:bottom w:val="single" w:sz="8" w:space="0" w:color="auto"/>
              <w:right w:val="single" w:sz="8" w:space="0" w:color="auto"/>
            </w:tcBorders>
            <w:shd w:val="clear" w:color="auto" w:fill="auto"/>
            <w:vAlign w:val="center"/>
            <w:hideMark/>
          </w:tcPr>
          <w:p w14:paraId="57EC2639"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0.000</w:t>
            </w:r>
          </w:p>
        </w:tc>
        <w:tc>
          <w:tcPr>
            <w:tcW w:w="1418" w:type="dxa"/>
            <w:tcBorders>
              <w:top w:val="nil"/>
              <w:left w:val="nil"/>
              <w:bottom w:val="single" w:sz="8" w:space="0" w:color="auto"/>
              <w:right w:val="single" w:sz="8" w:space="0" w:color="auto"/>
            </w:tcBorders>
            <w:shd w:val="clear" w:color="auto" w:fill="auto"/>
            <w:vAlign w:val="center"/>
            <w:hideMark/>
          </w:tcPr>
          <w:p w14:paraId="19833339"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0.000</w:t>
            </w:r>
          </w:p>
        </w:tc>
        <w:tc>
          <w:tcPr>
            <w:tcW w:w="1842" w:type="dxa"/>
            <w:tcBorders>
              <w:top w:val="nil"/>
              <w:left w:val="nil"/>
              <w:bottom w:val="single" w:sz="8" w:space="0" w:color="auto"/>
              <w:right w:val="single" w:sz="8" w:space="0" w:color="auto"/>
            </w:tcBorders>
            <w:shd w:val="clear" w:color="auto" w:fill="auto"/>
            <w:vAlign w:val="center"/>
            <w:hideMark/>
          </w:tcPr>
          <w:p w14:paraId="5950D55E"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0.111</w:t>
            </w:r>
          </w:p>
        </w:tc>
      </w:tr>
      <w:tr w:rsidR="00A678A9" w:rsidRPr="00D635BF" w14:paraId="0E23C2A8"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C4D6A29"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Waste &amp; Other</w:t>
            </w:r>
          </w:p>
        </w:tc>
        <w:tc>
          <w:tcPr>
            <w:tcW w:w="1701" w:type="dxa"/>
            <w:tcBorders>
              <w:top w:val="nil"/>
              <w:left w:val="nil"/>
              <w:bottom w:val="single" w:sz="8" w:space="0" w:color="auto"/>
              <w:right w:val="single" w:sz="8" w:space="0" w:color="auto"/>
            </w:tcBorders>
            <w:shd w:val="clear" w:color="auto" w:fill="auto"/>
            <w:vAlign w:val="center"/>
            <w:hideMark/>
          </w:tcPr>
          <w:p w14:paraId="30EE7951"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0.190</w:t>
            </w:r>
          </w:p>
        </w:tc>
        <w:tc>
          <w:tcPr>
            <w:tcW w:w="1417" w:type="dxa"/>
            <w:tcBorders>
              <w:top w:val="nil"/>
              <w:left w:val="nil"/>
              <w:bottom w:val="single" w:sz="8" w:space="0" w:color="auto"/>
              <w:right w:val="single" w:sz="8" w:space="0" w:color="auto"/>
            </w:tcBorders>
            <w:shd w:val="clear" w:color="auto" w:fill="auto"/>
            <w:vAlign w:val="center"/>
            <w:hideMark/>
          </w:tcPr>
          <w:p w14:paraId="47B0EAC6"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0.190</w:t>
            </w:r>
          </w:p>
        </w:tc>
        <w:tc>
          <w:tcPr>
            <w:tcW w:w="1418" w:type="dxa"/>
            <w:tcBorders>
              <w:top w:val="nil"/>
              <w:left w:val="nil"/>
              <w:bottom w:val="single" w:sz="8" w:space="0" w:color="auto"/>
              <w:right w:val="single" w:sz="8" w:space="0" w:color="auto"/>
            </w:tcBorders>
            <w:shd w:val="clear" w:color="auto" w:fill="auto"/>
            <w:vAlign w:val="center"/>
            <w:hideMark/>
          </w:tcPr>
          <w:p w14:paraId="692B794E"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0.000</w:t>
            </w:r>
          </w:p>
        </w:tc>
        <w:tc>
          <w:tcPr>
            <w:tcW w:w="1842" w:type="dxa"/>
            <w:tcBorders>
              <w:top w:val="nil"/>
              <w:left w:val="nil"/>
              <w:bottom w:val="single" w:sz="8" w:space="0" w:color="auto"/>
              <w:right w:val="single" w:sz="8" w:space="0" w:color="auto"/>
            </w:tcBorders>
            <w:shd w:val="clear" w:color="auto" w:fill="auto"/>
            <w:vAlign w:val="center"/>
            <w:hideMark/>
          </w:tcPr>
          <w:p w14:paraId="43D99B33"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7D6D2056"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CEF5351"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Adult Social Care</w:t>
            </w:r>
          </w:p>
        </w:tc>
        <w:tc>
          <w:tcPr>
            <w:tcW w:w="1701" w:type="dxa"/>
            <w:tcBorders>
              <w:top w:val="nil"/>
              <w:left w:val="nil"/>
              <w:bottom w:val="single" w:sz="8" w:space="0" w:color="auto"/>
              <w:right w:val="single" w:sz="8" w:space="0" w:color="auto"/>
            </w:tcBorders>
            <w:shd w:val="clear" w:color="auto" w:fill="auto"/>
            <w:vAlign w:val="center"/>
            <w:hideMark/>
          </w:tcPr>
          <w:p w14:paraId="545C0B50"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13.654</w:t>
            </w:r>
          </w:p>
        </w:tc>
        <w:tc>
          <w:tcPr>
            <w:tcW w:w="1417" w:type="dxa"/>
            <w:tcBorders>
              <w:top w:val="nil"/>
              <w:left w:val="nil"/>
              <w:bottom w:val="single" w:sz="8" w:space="0" w:color="auto"/>
              <w:right w:val="single" w:sz="8" w:space="0" w:color="auto"/>
            </w:tcBorders>
            <w:shd w:val="clear" w:color="auto" w:fill="auto"/>
            <w:vAlign w:val="center"/>
            <w:hideMark/>
          </w:tcPr>
          <w:p w14:paraId="6A2AE170"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0.000</w:t>
            </w:r>
          </w:p>
        </w:tc>
        <w:tc>
          <w:tcPr>
            <w:tcW w:w="1418" w:type="dxa"/>
            <w:tcBorders>
              <w:top w:val="nil"/>
              <w:left w:val="nil"/>
              <w:bottom w:val="single" w:sz="8" w:space="0" w:color="auto"/>
              <w:right w:val="single" w:sz="8" w:space="0" w:color="auto"/>
            </w:tcBorders>
            <w:shd w:val="clear" w:color="auto" w:fill="auto"/>
            <w:vAlign w:val="center"/>
            <w:hideMark/>
          </w:tcPr>
          <w:p w14:paraId="0A177CAD"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13.654</w:t>
            </w:r>
          </w:p>
        </w:tc>
        <w:tc>
          <w:tcPr>
            <w:tcW w:w="1842" w:type="dxa"/>
            <w:tcBorders>
              <w:top w:val="nil"/>
              <w:left w:val="nil"/>
              <w:bottom w:val="single" w:sz="8" w:space="0" w:color="auto"/>
              <w:right w:val="single" w:sz="8" w:space="0" w:color="auto"/>
            </w:tcBorders>
            <w:shd w:val="clear" w:color="auto" w:fill="auto"/>
            <w:vAlign w:val="center"/>
            <w:hideMark/>
          </w:tcPr>
          <w:p w14:paraId="4216BD68"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1A10C70E"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E7E701D"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Corporate</w:t>
            </w:r>
          </w:p>
        </w:tc>
        <w:tc>
          <w:tcPr>
            <w:tcW w:w="1701" w:type="dxa"/>
            <w:tcBorders>
              <w:top w:val="nil"/>
              <w:left w:val="nil"/>
              <w:bottom w:val="single" w:sz="8" w:space="0" w:color="auto"/>
              <w:right w:val="single" w:sz="8" w:space="0" w:color="auto"/>
            </w:tcBorders>
            <w:shd w:val="clear" w:color="auto" w:fill="auto"/>
            <w:vAlign w:val="center"/>
            <w:hideMark/>
          </w:tcPr>
          <w:p w14:paraId="339FDF87"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11.297</w:t>
            </w:r>
          </w:p>
        </w:tc>
        <w:tc>
          <w:tcPr>
            <w:tcW w:w="1417" w:type="dxa"/>
            <w:tcBorders>
              <w:top w:val="nil"/>
              <w:left w:val="nil"/>
              <w:bottom w:val="single" w:sz="8" w:space="0" w:color="auto"/>
              <w:right w:val="single" w:sz="8" w:space="0" w:color="auto"/>
            </w:tcBorders>
            <w:shd w:val="clear" w:color="auto" w:fill="auto"/>
            <w:vAlign w:val="center"/>
            <w:hideMark/>
          </w:tcPr>
          <w:p w14:paraId="174F1377"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11.297</w:t>
            </w:r>
          </w:p>
        </w:tc>
        <w:tc>
          <w:tcPr>
            <w:tcW w:w="1418" w:type="dxa"/>
            <w:tcBorders>
              <w:top w:val="nil"/>
              <w:left w:val="nil"/>
              <w:bottom w:val="single" w:sz="8" w:space="0" w:color="auto"/>
              <w:right w:val="single" w:sz="8" w:space="0" w:color="auto"/>
            </w:tcBorders>
            <w:shd w:val="clear" w:color="auto" w:fill="auto"/>
            <w:vAlign w:val="center"/>
            <w:hideMark/>
          </w:tcPr>
          <w:p w14:paraId="4FAA7267"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0.000</w:t>
            </w:r>
          </w:p>
        </w:tc>
        <w:tc>
          <w:tcPr>
            <w:tcW w:w="1842" w:type="dxa"/>
            <w:tcBorders>
              <w:top w:val="nil"/>
              <w:left w:val="nil"/>
              <w:bottom w:val="single" w:sz="8" w:space="0" w:color="auto"/>
              <w:right w:val="single" w:sz="8" w:space="0" w:color="auto"/>
            </w:tcBorders>
            <w:shd w:val="clear" w:color="auto" w:fill="auto"/>
            <w:vAlign w:val="center"/>
            <w:hideMark/>
          </w:tcPr>
          <w:p w14:paraId="58F3BFC5"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6105E1C3"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0B11970" w14:textId="77777777" w:rsidR="00A678A9" w:rsidRPr="00D635BF" w:rsidRDefault="00A678A9" w:rsidP="00E538C0">
            <w:pPr>
              <w:tabs>
                <w:tab w:val="left" w:pos="567"/>
                <w:tab w:val="left" w:pos="1134"/>
                <w:tab w:val="left" w:pos="1701"/>
              </w:tabs>
              <w:spacing w:after="0" w:line="240" w:lineRule="auto"/>
              <w:rPr>
                <w:rFonts w:cs="Arial"/>
                <w:color w:val="000000"/>
                <w:szCs w:val="24"/>
                <w:lang w:eastAsia="en-GB"/>
              </w:rPr>
            </w:pPr>
            <w:r w:rsidRPr="00D635BF">
              <w:rPr>
                <w:rFonts w:cs="Arial"/>
                <w:color w:val="000000"/>
                <w:szCs w:val="24"/>
                <w:lang w:eastAsia="en-GB"/>
              </w:rPr>
              <w:t>Vehicles</w:t>
            </w:r>
          </w:p>
        </w:tc>
        <w:tc>
          <w:tcPr>
            <w:tcW w:w="1701" w:type="dxa"/>
            <w:tcBorders>
              <w:top w:val="nil"/>
              <w:left w:val="nil"/>
              <w:bottom w:val="single" w:sz="8" w:space="0" w:color="auto"/>
              <w:right w:val="single" w:sz="8" w:space="0" w:color="auto"/>
            </w:tcBorders>
            <w:shd w:val="clear" w:color="auto" w:fill="auto"/>
            <w:vAlign w:val="center"/>
            <w:hideMark/>
          </w:tcPr>
          <w:p w14:paraId="75299DC0" w14:textId="77777777" w:rsidR="00A678A9" w:rsidRPr="00D635BF" w:rsidRDefault="00A678A9" w:rsidP="00E538C0">
            <w:pPr>
              <w:tabs>
                <w:tab w:val="left" w:pos="567"/>
                <w:tab w:val="left" w:pos="1134"/>
                <w:tab w:val="left" w:pos="1701"/>
              </w:tabs>
              <w:spacing w:after="0" w:line="240" w:lineRule="auto"/>
              <w:ind w:right="318"/>
              <w:jc w:val="right"/>
              <w:rPr>
                <w:rFonts w:cs="Arial"/>
                <w:color w:val="000000"/>
                <w:szCs w:val="24"/>
                <w:lang w:eastAsia="en-GB"/>
              </w:rPr>
            </w:pPr>
            <w:r w:rsidRPr="00D635BF">
              <w:rPr>
                <w:rFonts w:cs="Arial"/>
                <w:color w:val="000000"/>
                <w:szCs w:val="24"/>
                <w:lang w:eastAsia="en-GB"/>
              </w:rPr>
              <w:t>3.720</w:t>
            </w:r>
          </w:p>
        </w:tc>
        <w:tc>
          <w:tcPr>
            <w:tcW w:w="1417" w:type="dxa"/>
            <w:tcBorders>
              <w:top w:val="nil"/>
              <w:left w:val="nil"/>
              <w:bottom w:val="single" w:sz="8" w:space="0" w:color="auto"/>
              <w:right w:val="single" w:sz="8" w:space="0" w:color="auto"/>
            </w:tcBorders>
            <w:shd w:val="clear" w:color="auto" w:fill="auto"/>
            <w:vAlign w:val="center"/>
            <w:hideMark/>
          </w:tcPr>
          <w:p w14:paraId="5895B434" w14:textId="77777777" w:rsidR="00A678A9" w:rsidRPr="00D635BF" w:rsidRDefault="00A678A9" w:rsidP="00E538C0">
            <w:pPr>
              <w:tabs>
                <w:tab w:val="left" w:pos="567"/>
                <w:tab w:val="left" w:pos="1701"/>
              </w:tabs>
              <w:spacing w:after="0" w:line="240" w:lineRule="auto"/>
              <w:ind w:right="317"/>
              <w:jc w:val="right"/>
              <w:rPr>
                <w:rFonts w:cs="Arial"/>
                <w:color w:val="000000"/>
                <w:szCs w:val="24"/>
                <w:lang w:eastAsia="en-GB"/>
              </w:rPr>
            </w:pPr>
            <w:r w:rsidRPr="00D635BF">
              <w:rPr>
                <w:rFonts w:cs="Arial"/>
                <w:color w:val="000000"/>
                <w:szCs w:val="24"/>
                <w:lang w:eastAsia="en-GB"/>
              </w:rPr>
              <w:t>3.720</w:t>
            </w:r>
          </w:p>
        </w:tc>
        <w:tc>
          <w:tcPr>
            <w:tcW w:w="1418" w:type="dxa"/>
            <w:tcBorders>
              <w:top w:val="nil"/>
              <w:left w:val="nil"/>
              <w:bottom w:val="single" w:sz="8" w:space="0" w:color="auto"/>
              <w:right w:val="single" w:sz="8" w:space="0" w:color="auto"/>
            </w:tcBorders>
            <w:shd w:val="clear" w:color="auto" w:fill="auto"/>
            <w:vAlign w:val="center"/>
            <w:hideMark/>
          </w:tcPr>
          <w:p w14:paraId="022F06A3" w14:textId="77777777" w:rsidR="00A678A9" w:rsidRPr="00D635BF" w:rsidRDefault="00A678A9" w:rsidP="00E538C0">
            <w:pPr>
              <w:tabs>
                <w:tab w:val="left" w:pos="567"/>
                <w:tab w:val="left" w:pos="1701"/>
              </w:tabs>
              <w:spacing w:after="0" w:line="240" w:lineRule="auto"/>
              <w:ind w:right="176"/>
              <w:jc w:val="right"/>
              <w:rPr>
                <w:rFonts w:cs="Arial"/>
                <w:color w:val="000000"/>
                <w:szCs w:val="24"/>
                <w:lang w:eastAsia="en-GB"/>
              </w:rPr>
            </w:pPr>
            <w:r w:rsidRPr="00D635BF">
              <w:rPr>
                <w:rFonts w:cs="Arial"/>
                <w:color w:val="000000"/>
                <w:szCs w:val="24"/>
                <w:lang w:eastAsia="en-GB"/>
              </w:rPr>
              <w:t>0.000</w:t>
            </w:r>
          </w:p>
        </w:tc>
        <w:tc>
          <w:tcPr>
            <w:tcW w:w="1842" w:type="dxa"/>
            <w:tcBorders>
              <w:top w:val="nil"/>
              <w:left w:val="nil"/>
              <w:bottom w:val="single" w:sz="8" w:space="0" w:color="auto"/>
              <w:right w:val="single" w:sz="8" w:space="0" w:color="auto"/>
            </w:tcBorders>
            <w:shd w:val="clear" w:color="auto" w:fill="auto"/>
            <w:vAlign w:val="center"/>
            <w:hideMark/>
          </w:tcPr>
          <w:p w14:paraId="611E433A" w14:textId="77777777" w:rsidR="00A678A9" w:rsidRPr="00D635BF" w:rsidRDefault="00A678A9" w:rsidP="00E538C0">
            <w:pPr>
              <w:tabs>
                <w:tab w:val="left" w:pos="567"/>
                <w:tab w:val="left" w:pos="1134"/>
              </w:tabs>
              <w:spacing w:after="0" w:line="240" w:lineRule="auto"/>
              <w:ind w:right="459"/>
              <w:jc w:val="right"/>
              <w:rPr>
                <w:rFonts w:cs="Arial"/>
                <w:color w:val="000000"/>
                <w:szCs w:val="24"/>
                <w:lang w:eastAsia="en-GB"/>
              </w:rPr>
            </w:pPr>
            <w:r w:rsidRPr="00D635BF">
              <w:rPr>
                <w:rFonts w:cs="Arial"/>
                <w:color w:val="000000"/>
                <w:szCs w:val="24"/>
                <w:lang w:eastAsia="en-GB"/>
              </w:rPr>
              <w:t>0.000</w:t>
            </w:r>
          </w:p>
        </w:tc>
      </w:tr>
      <w:tr w:rsidR="00A678A9" w:rsidRPr="00D635BF" w14:paraId="537923F8" w14:textId="77777777" w:rsidTr="00E538C0">
        <w:trPr>
          <w:trHeight w:val="2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9B2D094" w14:textId="77777777" w:rsidR="00A678A9" w:rsidRPr="00D635BF" w:rsidRDefault="00A678A9" w:rsidP="00E538C0">
            <w:pPr>
              <w:tabs>
                <w:tab w:val="left" w:pos="567"/>
                <w:tab w:val="left" w:pos="1134"/>
                <w:tab w:val="left" w:pos="1701"/>
              </w:tabs>
              <w:spacing w:after="0" w:line="240" w:lineRule="auto"/>
              <w:rPr>
                <w:rFonts w:cs="Arial"/>
                <w:b/>
                <w:bCs/>
                <w:color w:val="000000"/>
                <w:szCs w:val="24"/>
                <w:lang w:eastAsia="en-GB"/>
              </w:rPr>
            </w:pPr>
            <w:r w:rsidRPr="00D635BF">
              <w:rPr>
                <w:rFonts w:cs="Arial"/>
                <w:b/>
                <w:bCs/>
                <w:color w:val="000000"/>
                <w:szCs w:val="24"/>
                <w:lang w:eastAsia="en-GB"/>
              </w:rPr>
              <w:t>Total</w:t>
            </w:r>
          </w:p>
        </w:tc>
        <w:tc>
          <w:tcPr>
            <w:tcW w:w="1701" w:type="dxa"/>
            <w:tcBorders>
              <w:top w:val="nil"/>
              <w:left w:val="nil"/>
              <w:bottom w:val="single" w:sz="8" w:space="0" w:color="auto"/>
              <w:right w:val="single" w:sz="8" w:space="0" w:color="auto"/>
            </w:tcBorders>
            <w:shd w:val="clear" w:color="auto" w:fill="auto"/>
            <w:vAlign w:val="center"/>
            <w:hideMark/>
          </w:tcPr>
          <w:p w14:paraId="1BF89655" w14:textId="77777777" w:rsidR="00A678A9" w:rsidRPr="00D635BF" w:rsidRDefault="00A678A9" w:rsidP="00E538C0">
            <w:pPr>
              <w:tabs>
                <w:tab w:val="left" w:pos="567"/>
                <w:tab w:val="left" w:pos="1134"/>
                <w:tab w:val="left" w:pos="1701"/>
              </w:tabs>
              <w:spacing w:after="0" w:line="240" w:lineRule="auto"/>
              <w:ind w:right="318"/>
              <w:jc w:val="right"/>
              <w:rPr>
                <w:rFonts w:cs="Arial"/>
                <w:b/>
                <w:bCs/>
                <w:color w:val="000000"/>
                <w:szCs w:val="24"/>
                <w:lang w:eastAsia="en-GB"/>
              </w:rPr>
            </w:pPr>
            <w:r w:rsidRPr="00D635BF">
              <w:rPr>
                <w:rFonts w:cs="Arial"/>
                <w:b/>
                <w:bCs/>
                <w:color w:val="000000"/>
                <w:szCs w:val="24"/>
                <w:lang w:eastAsia="en-GB"/>
              </w:rPr>
              <w:t>130.289</w:t>
            </w:r>
          </w:p>
        </w:tc>
        <w:tc>
          <w:tcPr>
            <w:tcW w:w="1417" w:type="dxa"/>
            <w:tcBorders>
              <w:top w:val="nil"/>
              <w:left w:val="nil"/>
              <w:bottom w:val="single" w:sz="8" w:space="0" w:color="auto"/>
              <w:right w:val="single" w:sz="8" w:space="0" w:color="auto"/>
            </w:tcBorders>
            <w:shd w:val="clear" w:color="auto" w:fill="auto"/>
            <w:vAlign w:val="center"/>
            <w:hideMark/>
          </w:tcPr>
          <w:p w14:paraId="2AAC092E" w14:textId="77777777" w:rsidR="00A678A9" w:rsidRPr="00D635BF" w:rsidRDefault="00A678A9" w:rsidP="00E538C0">
            <w:pPr>
              <w:tabs>
                <w:tab w:val="left" w:pos="567"/>
                <w:tab w:val="left" w:pos="1701"/>
              </w:tabs>
              <w:spacing w:after="0" w:line="240" w:lineRule="auto"/>
              <w:ind w:right="317"/>
              <w:jc w:val="right"/>
              <w:rPr>
                <w:rFonts w:cs="Arial"/>
                <w:b/>
                <w:bCs/>
                <w:color w:val="000000"/>
                <w:szCs w:val="24"/>
                <w:lang w:eastAsia="en-GB"/>
              </w:rPr>
            </w:pPr>
            <w:r w:rsidRPr="00D635BF">
              <w:rPr>
                <w:rFonts w:cs="Arial"/>
                <w:b/>
                <w:bCs/>
                <w:color w:val="000000"/>
                <w:szCs w:val="24"/>
                <w:lang w:eastAsia="en-GB"/>
              </w:rPr>
              <w:t>34.924</w:t>
            </w:r>
          </w:p>
        </w:tc>
        <w:tc>
          <w:tcPr>
            <w:tcW w:w="1418" w:type="dxa"/>
            <w:tcBorders>
              <w:top w:val="nil"/>
              <w:left w:val="nil"/>
              <w:bottom w:val="single" w:sz="8" w:space="0" w:color="auto"/>
              <w:right w:val="single" w:sz="8" w:space="0" w:color="auto"/>
            </w:tcBorders>
            <w:shd w:val="clear" w:color="auto" w:fill="auto"/>
            <w:vAlign w:val="center"/>
            <w:hideMark/>
          </w:tcPr>
          <w:p w14:paraId="24E8FC6F" w14:textId="77777777" w:rsidR="00A678A9" w:rsidRPr="00D635BF" w:rsidRDefault="00A678A9" w:rsidP="00E538C0">
            <w:pPr>
              <w:tabs>
                <w:tab w:val="left" w:pos="567"/>
                <w:tab w:val="left" w:pos="1701"/>
              </w:tabs>
              <w:spacing w:after="0" w:line="240" w:lineRule="auto"/>
              <w:ind w:right="176"/>
              <w:jc w:val="right"/>
              <w:rPr>
                <w:rFonts w:cs="Arial"/>
                <w:b/>
                <w:bCs/>
                <w:color w:val="000000"/>
                <w:szCs w:val="24"/>
                <w:lang w:eastAsia="en-GB"/>
              </w:rPr>
            </w:pPr>
            <w:r w:rsidRPr="00D635BF">
              <w:rPr>
                <w:rFonts w:cs="Arial"/>
                <w:b/>
                <w:bCs/>
                <w:color w:val="000000"/>
                <w:szCs w:val="24"/>
                <w:lang w:eastAsia="en-GB"/>
              </w:rPr>
              <w:t>87.984</w:t>
            </w:r>
          </w:p>
        </w:tc>
        <w:tc>
          <w:tcPr>
            <w:tcW w:w="1842" w:type="dxa"/>
            <w:tcBorders>
              <w:top w:val="nil"/>
              <w:left w:val="nil"/>
              <w:bottom w:val="single" w:sz="8" w:space="0" w:color="auto"/>
              <w:right w:val="single" w:sz="8" w:space="0" w:color="auto"/>
            </w:tcBorders>
            <w:shd w:val="clear" w:color="auto" w:fill="auto"/>
            <w:vAlign w:val="center"/>
            <w:hideMark/>
          </w:tcPr>
          <w:p w14:paraId="1928F62F" w14:textId="77777777" w:rsidR="00A678A9" w:rsidRPr="00D635BF" w:rsidRDefault="00A678A9" w:rsidP="00E538C0">
            <w:pPr>
              <w:tabs>
                <w:tab w:val="left" w:pos="567"/>
                <w:tab w:val="left" w:pos="1134"/>
              </w:tabs>
              <w:spacing w:after="0" w:line="240" w:lineRule="auto"/>
              <w:ind w:right="459"/>
              <w:jc w:val="right"/>
              <w:rPr>
                <w:rFonts w:cs="Arial"/>
                <w:b/>
                <w:bCs/>
                <w:color w:val="000000"/>
                <w:szCs w:val="24"/>
                <w:lang w:eastAsia="en-GB"/>
              </w:rPr>
            </w:pPr>
            <w:r w:rsidRPr="00D635BF">
              <w:rPr>
                <w:rFonts w:cs="Arial"/>
                <w:b/>
                <w:bCs/>
                <w:color w:val="000000"/>
                <w:szCs w:val="24"/>
                <w:lang w:eastAsia="en-GB"/>
              </w:rPr>
              <w:t>7.381</w:t>
            </w:r>
          </w:p>
        </w:tc>
      </w:tr>
    </w:tbl>
    <w:p w14:paraId="51DED7EE" w14:textId="77777777" w:rsidR="001371ED" w:rsidRPr="00DE45C1" w:rsidRDefault="001371ED" w:rsidP="001D0484">
      <w:pPr>
        <w:autoSpaceDE w:val="0"/>
        <w:autoSpaceDN w:val="0"/>
        <w:adjustRightInd w:val="0"/>
        <w:spacing w:after="0"/>
        <w:jc w:val="both"/>
        <w:rPr>
          <w:rFonts w:eastAsia="Calibri" w:cs="Helvetica-Light"/>
          <w:color w:val="000000"/>
          <w:szCs w:val="24"/>
          <w:highlight w:val="yellow"/>
        </w:rPr>
      </w:pPr>
    </w:p>
    <w:p w14:paraId="7D4404F8" w14:textId="4E1BC36E" w:rsidR="00AA35F3" w:rsidRPr="00A678A9" w:rsidRDefault="00EE0166" w:rsidP="001D0484">
      <w:pPr>
        <w:autoSpaceDE w:val="0"/>
        <w:autoSpaceDN w:val="0"/>
        <w:adjustRightInd w:val="0"/>
        <w:spacing w:after="0"/>
        <w:jc w:val="both"/>
        <w:rPr>
          <w:rFonts w:eastAsia="Calibri" w:cs="Helvetica-Light"/>
          <w:color w:val="000000"/>
          <w:szCs w:val="24"/>
        </w:rPr>
      </w:pPr>
      <w:r w:rsidRPr="00A678A9">
        <w:rPr>
          <w:rFonts w:eastAsia="Calibri" w:cs="Helvetica-Light"/>
          <w:color w:val="000000"/>
          <w:szCs w:val="24"/>
        </w:rPr>
        <w:t xml:space="preserve">Table </w:t>
      </w:r>
      <w:r w:rsidR="00515C87">
        <w:rPr>
          <w:rFonts w:eastAsia="Calibri" w:cs="Helvetica-Light"/>
          <w:color w:val="000000"/>
          <w:szCs w:val="24"/>
        </w:rPr>
        <w:t>13</w:t>
      </w:r>
      <w:r w:rsidR="00AA35F3" w:rsidRPr="00A678A9">
        <w:rPr>
          <w:rFonts w:eastAsia="Calibri" w:cs="Helvetica-Light"/>
          <w:color w:val="000000"/>
          <w:szCs w:val="24"/>
        </w:rPr>
        <w:t xml:space="preserve"> identifies the</w:t>
      </w:r>
      <w:r w:rsidR="00E77F7E" w:rsidRPr="00A678A9">
        <w:rPr>
          <w:rFonts w:eastAsia="Calibri" w:cs="Helvetica-Light"/>
          <w:color w:val="000000"/>
          <w:szCs w:val="24"/>
        </w:rPr>
        <w:t xml:space="preserve"> revenue</w:t>
      </w:r>
      <w:r w:rsidR="00AA35F3" w:rsidRPr="00A678A9">
        <w:rPr>
          <w:rFonts w:eastAsia="Calibri" w:cs="Helvetica-Light"/>
          <w:color w:val="000000"/>
          <w:szCs w:val="24"/>
        </w:rPr>
        <w:t xml:space="preserve"> </w:t>
      </w:r>
      <w:r w:rsidR="00E77F7E" w:rsidRPr="00A678A9">
        <w:rPr>
          <w:rFonts w:eastAsia="Calibri" w:cs="Helvetica-Light"/>
          <w:color w:val="000000"/>
          <w:szCs w:val="24"/>
        </w:rPr>
        <w:t xml:space="preserve">budget for financing charges as reflected within the </w:t>
      </w:r>
      <w:r w:rsidR="00A678A9">
        <w:rPr>
          <w:rFonts w:eastAsia="Calibri" w:cs="Helvetica-Light"/>
          <w:color w:val="000000"/>
          <w:szCs w:val="24"/>
        </w:rPr>
        <w:t>medium term financial s</w:t>
      </w:r>
      <w:r w:rsidR="00E77F7E" w:rsidRPr="00A678A9">
        <w:rPr>
          <w:rFonts w:eastAsia="Calibri" w:cs="Helvetica-Light"/>
          <w:color w:val="000000"/>
          <w:szCs w:val="24"/>
        </w:rPr>
        <w:t>trategy:</w:t>
      </w:r>
    </w:p>
    <w:p w14:paraId="27D2B6B1" w14:textId="77777777" w:rsidR="00CE14AC" w:rsidRPr="00A678A9" w:rsidRDefault="00CE14AC" w:rsidP="001D0484">
      <w:pPr>
        <w:autoSpaceDE w:val="0"/>
        <w:autoSpaceDN w:val="0"/>
        <w:adjustRightInd w:val="0"/>
        <w:spacing w:after="0"/>
        <w:jc w:val="both"/>
        <w:rPr>
          <w:rFonts w:eastAsia="Calibri" w:cs="Helvetica-Light"/>
          <w:color w:val="000000"/>
          <w:szCs w:val="24"/>
        </w:rPr>
      </w:pPr>
    </w:p>
    <w:p w14:paraId="794519AB" w14:textId="3C60A79D" w:rsidR="004508B4" w:rsidRPr="00A678A9" w:rsidRDefault="00F7294A"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13</w:t>
      </w:r>
    </w:p>
    <w:p w14:paraId="73231E54" w14:textId="77777777" w:rsidR="00E40C4F" w:rsidRPr="00DE45C1" w:rsidRDefault="00E40C4F" w:rsidP="001D0484">
      <w:pPr>
        <w:autoSpaceDE w:val="0"/>
        <w:autoSpaceDN w:val="0"/>
        <w:adjustRightInd w:val="0"/>
        <w:spacing w:after="0"/>
        <w:jc w:val="both"/>
        <w:rPr>
          <w:rFonts w:eastAsia="Calibri" w:cs="Helvetica-Light"/>
          <w:b/>
          <w:color w:val="000000"/>
          <w:szCs w:val="24"/>
          <w:highlight w:val="yellow"/>
          <w:u w:val="single"/>
        </w:rPr>
      </w:pPr>
    </w:p>
    <w:tbl>
      <w:tblPr>
        <w:tblStyle w:val="TableGrid14"/>
        <w:tblW w:w="9209" w:type="dxa"/>
        <w:tblInd w:w="-142" w:type="dxa"/>
        <w:tblLook w:val="04A0" w:firstRow="1" w:lastRow="0" w:firstColumn="1" w:lastColumn="0" w:noHBand="0" w:noVBand="1"/>
      </w:tblPr>
      <w:tblGrid>
        <w:gridCol w:w="4815"/>
        <w:gridCol w:w="1464"/>
        <w:gridCol w:w="1465"/>
        <w:gridCol w:w="1465"/>
      </w:tblGrid>
      <w:tr w:rsidR="00741EE3" w:rsidRPr="00A678A9" w14:paraId="2B5AC729" w14:textId="77777777" w:rsidTr="00741EE3">
        <w:tc>
          <w:tcPr>
            <w:tcW w:w="4815" w:type="dxa"/>
          </w:tcPr>
          <w:p w14:paraId="6AF6BE3D" w14:textId="77777777" w:rsidR="00741EE3" w:rsidRPr="00741EE3" w:rsidRDefault="00741EE3" w:rsidP="00595403">
            <w:pPr>
              <w:tabs>
                <w:tab w:val="left" w:pos="851"/>
                <w:tab w:val="left" w:pos="1418"/>
              </w:tabs>
              <w:autoSpaceDE w:val="0"/>
              <w:autoSpaceDN w:val="0"/>
              <w:adjustRightInd w:val="0"/>
              <w:spacing w:after="120"/>
              <w:jc w:val="both"/>
              <w:rPr>
                <w:rFonts w:eastAsia="Calibri" w:cs="Arial"/>
                <w:b/>
                <w:noProof/>
                <w:color w:val="000000"/>
                <w:szCs w:val="24"/>
              </w:rPr>
            </w:pPr>
          </w:p>
          <w:p w14:paraId="16ED1396" w14:textId="702DE0C0" w:rsidR="00741EE3" w:rsidRPr="00741EE3" w:rsidRDefault="00741EE3" w:rsidP="00595403">
            <w:pPr>
              <w:tabs>
                <w:tab w:val="left" w:pos="851"/>
                <w:tab w:val="left" w:pos="1418"/>
              </w:tabs>
              <w:autoSpaceDE w:val="0"/>
              <w:autoSpaceDN w:val="0"/>
              <w:adjustRightInd w:val="0"/>
              <w:spacing w:after="120"/>
              <w:jc w:val="both"/>
              <w:rPr>
                <w:rFonts w:eastAsia="Calibri" w:cs="Arial"/>
                <w:b/>
                <w:noProof/>
                <w:color w:val="000000"/>
                <w:szCs w:val="24"/>
              </w:rPr>
            </w:pPr>
          </w:p>
        </w:tc>
        <w:tc>
          <w:tcPr>
            <w:tcW w:w="1464" w:type="dxa"/>
          </w:tcPr>
          <w:p w14:paraId="376FDCEA" w14:textId="66F53784"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2019/20</w:t>
            </w:r>
          </w:p>
          <w:p w14:paraId="597ACF47" w14:textId="77777777"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£m</w:t>
            </w:r>
          </w:p>
        </w:tc>
        <w:tc>
          <w:tcPr>
            <w:tcW w:w="1465" w:type="dxa"/>
          </w:tcPr>
          <w:p w14:paraId="4F04AB4C" w14:textId="1CBF6EFF"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2020/21</w:t>
            </w:r>
          </w:p>
          <w:p w14:paraId="012C515D" w14:textId="77777777"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£m</w:t>
            </w:r>
          </w:p>
        </w:tc>
        <w:tc>
          <w:tcPr>
            <w:tcW w:w="1465" w:type="dxa"/>
          </w:tcPr>
          <w:p w14:paraId="79B4F68B" w14:textId="202C81AE"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2021/22</w:t>
            </w:r>
          </w:p>
          <w:p w14:paraId="4C4B3072" w14:textId="2CB144D1" w:rsidR="00741EE3" w:rsidRPr="00741EE3" w:rsidRDefault="00741EE3" w:rsidP="00E77F7E">
            <w:pPr>
              <w:tabs>
                <w:tab w:val="left" w:pos="851"/>
                <w:tab w:val="left" w:pos="1418"/>
              </w:tabs>
              <w:autoSpaceDE w:val="0"/>
              <w:autoSpaceDN w:val="0"/>
              <w:adjustRightInd w:val="0"/>
              <w:spacing w:after="120"/>
              <w:jc w:val="center"/>
              <w:rPr>
                <w:rFonts w:eastAsia="Calibri" w:cs="Arial"/>
                <w:b/>
                <w:noProof/>
                <w:color w:val="000000"/>
                <w:szCs w:val="24"/>
              </w:rPr>
            </w:pPr>
            <w:r w:rsidRPr="00741EE3">
              <w:rPr>
                <w:rFonts w:eastAsia="Calibri" w:cs="Arial"/>
                <w:b/>
                <w:noProof/>
                <w:color w:val="000000"/>
                <w:szCs w:val="24"/>
              </w:rPr>
              <w:t>£m</w:t>
            </w:r>
          </w:p>
        </w:tc>
      </w:tr>
      <w:tr w:rsidR="00741EE3" w:rsidRPr="00A678A9" w14:paraId="3E78E7D1" w14:textId="77777777" w:rsidTr="00C10C19">
        <w:tc>
          <w:tcPr>
            <w:tcW w:w="4815" w:type="dxa"/>
            <w:vAlign w:val="center"/>
          </w:tcPr>
          <w:p w14:paraId="1B1331E9" w14:textId="05D7415A" w:rsidR="00741EE3" w:rsidRPr="00741EE3" w:rsidRDefault="00741EE3" w:rsidP="00741EE3">
            <w:pPr>
              <w:tabs>
                <w:tab w:val="left" w:pos="851"/>
                <w:tab w:val="left" w:pos="1418"/>
              </w:tabs>
              <w:autoSpaceDE w:val="0"/>
              <w:autoSpaceDN w:val="0"/>
              <w:adjustRightInd w:val="0"/>
              <w:spacing w:after="120"/>
              <w:rPr>
                <w:rFonts w:eastAsia="Calibri" w:cs="Arial"/>
                <w:noProof/>
                <w:color w:val="000000"/>
                <w:szCs w:val="24"/>
              </w:rPr>
            </w:pPr>
            <w:r w:rsidRPr="00741EE3">
              <w:rPr>
                <w:rFonts w:eastAsia="Calibri" w:cs="Arial"/>
                <w:noProof/>
                <w:color w:val="000000"/>
                <w:szCs w:val="24"/>
              </w:rPr>
              <w:t>Minimum Revenue Provision</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bottom"/>
          </w:tcPr>
          <w:p w14:paraId="0C2112A2" w14:textId="26966510"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14.936</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6BD4775D" w14:textId="72AFE75C"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16.316</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690CF4FE" w14:textId="614B9860"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17.209</w:t>
            </w:r>
          </w:p>
        </w:tc>
      </w:tr>
      <w:tr w:rsidR="00741EE3" w:rsidRPr="00A678A9" w14:paraId="3FDA5262" w14:textId="77777777" w:rsidTr="00C10C19">
        <w:tc>
          <w:tcPr>
            <w:tcW w:w="4815" w:type="dxa"/>
            <w:vAlign w:val="center"/>
          </w:tcPr>
          <w:p w14:paraId="3F621E09" w14:textId="2DF2C66E" w:rsidR="00741EE3" w:rsidRPr="00741EE3" w:rsidRDefault="00741EE3" w:rsidP="00741EE3">
            <w:pPr>
              <w:tabs>
                <w:tab w:val="left" w:pos="851"/>
                <w:tab w:val="left" w:pos="1418"/>
              </w:tabs>
              <w:autoSpaceDE w:val="0"/>
              <w:autoSpaceDN w:val="0"/>
              <w:adjustRightInd w:val="0"/>
              <w:spacing w:after="120"/>
              <w:rPr>
                <w:rFonts w:eastAsia="Calibri" w:cs="Arial"/>
                <w:noProof/>
                <w:color w:val="000000"/>
                <w:szCs w:val="24"/>
              </w:rPr>
            </w:pPr>
            <w:r w:rsidRPr="00741EE3">
              <w:rPr>
                <w:rFonts w:eastAsia="Calibri" w:cs="Arial"/>
                <w:noProof/>
                <w:color w:val="000000"/>
                <w:szCs w:val="24"/>
              </w:rPr>
              <w:t>Interest Paid</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bottom"/>
          </w:tcPr>
          <w:p w14:paraId="1D914029" w14:textId="2C2180B4"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24.410</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68573118" w14:textId="1C534D76"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24.407</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25F459AB" w14:textId="42CF7A10"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24.505</w:t>
            </w:r>
          </w:p>
        </w:tc>
      </w:tr>
      <w:tr w:rsidR="00741EE3" w:rsidRPr="00A678A9" w14:paraId="338EBC5D" w14:textId="77777777" w:rsidTr="00C10C19">
        <w:tc>
          <w:tcPr>
            <w:tcW w:w="4815" w:type="dxa"/>
            <w:vAlign w:val="center"/>
          </w:tcPr>
          <w:p w14:paraId="35975072" w14:textId="55B32E4B" w:rsidR="00741EE3" w:rsidRPr="00741EE3" w:rsidRDefault="00741EE3" w:rsidP="00741EE3">
            <w:pPr>
              <w:tabs>
                <w:tab w:val="left" w:pos="851"/>
                <w:tab w:val="left" w:pos="1418"/>
              </w:tabs>
              <w:autoSpaceDE w:val="0"/>
              <w:autoSpaceDN w:val="0"/>
              <w:adjustRightInd w:val="0"/>
              <w:spacing w:after="120"/>
              <w:rPr>
                <w:rFonts w:eastAsia="Calibri" w:cs="Arial"/>
                <w:noProof/>
                <w:color w:val="000000"/>
                <w:szCs w:val="24"/>
              </w:rPr>
            </w:pPr>
            <w:r w:rsidRPr="00741EE3">
              <w:rPr>
                <w:rFonts w:eastAsia="Calibri" w:cs="Arial"/>
                <w:noProof/>
                <w:color w:val="000000"/>
                <w:szCs w:val="24"/>
              </w:rPr>
              <w:t>Interest Earned</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bottom"/>
          </w:tcPr>
          <w:p w14:paraId="5D8DF1F8" w14:textId="2C8A9B9E"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-12.384</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29889CB3" w14:textId="5C80D423"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-12.372</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478E0697" w14:textId="55573774"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-12.384</w:t>
            </w:r>
          </w:p>
        </w:tc>
      </w:tr>
      <w:tr w:rsidR="00741EE3" w:rsidRPr="00A678A9" w14:paraId="7B5B60EF" w14:textId="77777777" w:rsidTr="00C10C19">
        <w:tc>
          <w:tcPr>
            <w:tcW w:w="4815" w:type="dxa"/>
            <w:vAlign w:val="center"/>
          </w:tcPr>
          <w:p w14:paraId="4BCA737E" w14:textId="7D8F4595" w:rsidR="00741EE3" w:rsidRPr="00741EE3" w:rsidRDefault="00741EE3" w:rsidP="00741EE3">
            <w:pPr>
              <w:tabs>
                <w:tab w:val="left" w:pos="851"/>
                <w:tab w:val="left" w:pos="1418"/>
              </w:tabs>
              <w:autoSpaceDE w:val="0"/>
              <w:autoSpaceDN w:val="0"/>
              <w:adjustRightInd w:val="0"/>
              <w:spacing w:after="120"/>
              <w:rPr>
                <w:rFonts w:eastAsia="Calibri" w:cs="Arial"/>
                <w:noProof/>
                <w:color w:val="000000"/>
                <w:szCs w:val="24"/>
              </w:rPr>
            </w:pPr>
            <w:r w:rsidRPr="00741EE3">
              <w:rPr>
                <w:rFonts w:eastAsia="Calibri" w:cs="Arial"/>
                <w:noProof/>
                <w:color w:val="000000"/>
                <w:szCs w:val="24"/>
              </w:rPr>
              <w:t>Grants Received</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bottom"/>
          </w:tcPr>
          <w:p w14:paraId="74732E3C" w14:textId="0DF736D5"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-0.200</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01C1A851" w14:textId="5FFF4D1D"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-0.180</w:t>
            </w:r>
          </w:p>
        </w:tc>
        <w:tc>
          <w:tcPr>
            <w:tcW w:w="1465" w:type="dxa"/>
            <w:tcBorders>
              <w:top w:val="single" w:sz="4" w:space="0" w:color="auto"/>
              <w:left w:val="nil"/>
              <w:bottom w:val="single" w:sz="4" w:space="0" w:color="auto"/>
              <w:right w:val="single" w:sz="4" w:space="0" w:color="auto"/>
            </w:tcBorders>
            <w:shd w:val="clear" w:color="000000" w:fill="FFFFFF"/>
            <w:vAlign w:val="bottom"/>
          </w:tcPr>
          <w:p w14:paraId="7D62C9EB" w14:textId="603E332A" w:rsidR="00741EE3" w:rsidRPr="00741EE3" w:rsidRDefault="00741EE3" w:rsidP="00741EE3">
            <w:pPr>
              <w:tabs>
                <w:tab w:val="left" w:pos="851"/>
                <w:tab w:val="left" w:pos="1418"/>
              </w:tabs>
              <w:autoSpaceDE w:val="0"/>
              <w:autoSpaceDN w:val="0"/>
              <w:adjustRightInd w:val="0"/>
              <w:spacing w:after="120"/>
              <w:jc w:val="right"/>
              <w:rPr>
                <w:rFonts w:eastAsia="Calibri" w:cs="Arial"/>
                <w:noProof/>
                <w:color w:val="000000"/>
                <w:szCs w:val="24"/>
              </w:rPr>
            </w:pPr>
            <w:r w:rsidRPr="00741EE3">
              <w:t>-0.160</w:t>
            </w:r>
          </w:p>
        </w:tc>
      </w:tr>
      <w:tr w:rsidR="00741EE3" w:rsidRPr="00DE45C1" w14:paraId="1729BC01" w14:textId="77777777" w:rsidTr="00741EE3">
        <w:tc>
          <w:tcPr>
            <w:tcW w:w="4815" w:type="dxa"/>
            <w:vAlign w:val="center"/>
          </w:tcPr>
          <w:p w14:paraId="7D3276C5" w14:textId="77777777" w:rsidR="00741EE3" w:rsidRPr="00741EE3" w:rsidRDefault="00741EE3" w:rsidP="00741EE3">
            <w:pPr>
              <w:tabs>
                <w:tab w:val="left" w:pos="851"/>
                <w:tab w:val="left" w:pos="1418"/>
              </w:tabs>
              <w:autoSpaceDE w:val="0"/>
              <w:autoSpaceDN w:val="0"/>
              <w:adjustRightInd w:val="0"/>
              <w:spacing w:after="120"/>
              <w:rPr>
                <w:rFonts w:eastAsia="Calibri" w:cs="Arial"/>
                <w:b/>
                <w:noProof/>
                <w:color w:val="000000"/>
                <w:szCs w:val="24"/>
              </w:rPr>
            </w:pPr>
            <w:r w:rsidRPr="00741EE3">
              <w:rPr>
                <w:rFonts w:eastAsia="Calibri" w:cs="Arial"/>
                <w:b/>
                <w:noProof/>
                <w:color w:val="000000"/>
                <w:szCs w:val="24"/>
              </w:rPr>
              <w:t>Total</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5FFABB0A" w14:textId="4D3DC619" w:rsidR="00741EE3" w:rsidRPr="00741EE3" w:rsidRDefault="00741EE3" w:rsidP="00741EE3">
            <w:pPr>
              <w:tabs>
                <w:tab w:val="left" w:pos="851"/>
                <w:tab w:val="left" w:pos="1418"/>
              </w:tabs>
              <w:autoSpaceDE w:val="0"/>
              <w:autoSpaceDN w:val="0"/>
              <w:adjustRightInd w:val="0"/>
              <w:spacing w:after="120"/>
              <w:jc w:val="right"/>
              <w:rPr>
                <w:rFonts w:eastAsia="Calibri" w:cs="Arial"/>
                <w:b/>
                <w:noProof/>
                <w:color w:val="000000"/>
                <w:szCs w:val="24"/>
              </w:rPr>
            </w:pPr>
            <w:r w:rsidRPr="00741EE3">
              <w:rPr>
                <w:b/>
              </w:rPr>
              <w:t>26.762</w:t>
            </w:r>
          </w:p>
        </w:tc>
        <w:tc>
          <w:tcPr>
            <w:tcW w:w="1465" w:type="dxa"/>
            <w:tcBorders>
              <w:top w:val="single" w:sz="4" w:space="0" w:color="auto"/>
              <w:left w:val="nil"/>
              <w:bottom w:val="single" w:sz="4" w:space="0" w:color="auto"/>
              <w:right w:val="single" w:sz="4" w:space="0" w:color="auto"/>
            </w:tcBorders>
            <w:shd w:val="clear" w:color="auto" w:fill="auto"/>
            <w:vAlign w:val="bottom"/>
          </w:tcPr>
          <w:p w14:paraId="30E66060" w14:textId="55E57FE0" w:rsidR="00741EE3" w:rsidRPr="00741EE3" w:rsidRDefault="00741EE3" w:rsidP="00741EE3">
            <w:pPr>
              <w:tabs>
                <w:tab w:val="left" w:pos="851"/>
                <w:tab w:val="left" w:pos="1418"/>
              </w:tabs>
              <w:autoSpaceDE w:val="0"/>
              <w:autoSpaceDN w:val="0"/>
              <w:adjustRightInd w:val="0"/>
              <w:spacing w:after="120"/>
              <w:jc w:val="right"/>
              <w:rPr>
                <w:rFonts w:eastAsia="Calibri" w:cs="Arial"/>
                <w:b/>
                <w:noProof/>
                <w:color w:val="000000"/>
                <w:szCs w:val="24"/>
              </w:rPr>
            </w:pPr>
            <w:r w:rsidRPr="00741EE3">
              <w:rPr>
                <w:b/>
              </w:rPr>
              <w:t>28.171</w:t>
            </w:r>
          </w:p>
        </w:tc>
        <w:tc>
          <w:tcPr>
            <w:tcW w:w="1465" w:type="dxa"/>
            <w:tcBorders>
              <w:top w:val="single" w:sz="4" w:space="0" w:color="auto"/>
              <w:left w:val="nil"/>
              <w:bottom w:val="single" w:sz="4" w:space="0" w:color="auto"/>
              <w:right w:val="single" w:sz="4" w:space="0" w:color="auto"/>
            </w:tcBorders>
            <w:shd w:val="clear" w:color="auto" w:fill="auto"/>
            <w:vAlign w:val="bottom"/>
          </w:tcPr>
          <w:p w14:paraId="094ECF2D" w14:textId="6067A990" w:rsidR="00741EE3" w:rsidRPr="00741EE3" w:rsidRDefault="00741EE3" w:rsidP="00741EE3">
            <w:pPr>
              <w:tabs>
                <w:tab w:val="left" w:pos="851"/>
                <w:tab w:val="left" w:pos="1418"/>
              </w:tabs>
              <w:autoSpaceDE w:val="0"/>
              <w:autoSpaceDN w:val="0"/>
              <w:adjustRightInd w:val="0"/>
              <w:spacing w:after="120"/>
              <w:jc w:val="right"/>
              <w:rPr>
                <w:rFonts w:eastAsia="Calibri" w:cs="Arial"/>
                <w:b/>
                <w:noProof/>
                <w:color w:val="000000"/>
                <w:szCs w:val="24"/>
              </w:rPr>
            </w:pPr>
            <w:r w:rsidRPr="00741EE3">
              <w:rPr>
                <w:b/>
              </w:rPr>
              <w:t>29.170</w:t>
            </w:r>
          </w:p>
        </w:tc>
      </w:tr>
    </w:tbl>
    <w:p w14:paraId="1B23B57C" w14:textId="77777777" w:rsidR="00AA35F3" w:rsidRPr="00DE45C1" w:rsidRDefault="00AA35F3" w:rsidP="00E77F7E">
      <w:pPr>
        <w:autoSpaceDE w:val="0"/>
        <w:autoSpaceDN w:val="0"/>
        <w:adjustRightInd w:val="0"/>
        <w:spacing w:after="0"/>
        <w:jc w:val="both"/>
        <w:rPr>
          <w:rFonts w:eastAsia="Calibri" w:cs="Helvetica-Light"/>
          <w:color w:val="000000"/>
          <w:szCs w:val="24"/>
          <w:highlight w:val="yellow"/>
        </w:rPr>
      </w:pPr>
    </w:p>
    <w:p w14:paraId="15A9611E" w14:textId="77777777" w:rsidR="00515C87" w:rsidRDefault="00741EE3" w:rsidP="00E77F7E">
      <w:pPr>
        <w:autoSpaceDE w:val="0"/>
        <w:autoSpaceDN w:val="0"/>
        <w:adjustRightInd w:val="0"/>
        <w:spacing w:after="0"/>
        <w:jc w:val="both"/>
        <w:rPr>
          <w:rFonts w:eastAsia="Calibri" w:cs="Helvetica-Light"/>
          <w:color w:val="000000"/>
          <w:szCs w:val="24"/>
        </w:rPr>
      </w:pPr>
      <w:r w:rsidRPr="00741EE3">
        <w:rPr>
          <w:rFonts w:eastAsia="Calibri" w:cs="Helvetica-Light"/>
          <w:color w:val="000000"/>
          <w:szCs w:val="24"/>
        </w:rPr>
        <w:t>The revenue budget above reflects a position which takes account of the views of both internal and external advisers, particularly in relation to interest rate movements. Provision has also been made for changing some of the borrowing to a long term fixed rate rather than the existing short term rates in 2020/21.</w:t>
      </w:r>
    </w:p>
    <w:p w14:paraId="641FA300" w14:textId="77777777" w:rsidR="005D7B41" w:rsidRDefault="005D7B41" w:rsidP="00E77F7E">
      <w:pPr>
        <w:autoSpaceDE w:val="0"/>
        <w:autoSpaceDN w:val="0"/>
        <w:adjustRightInd w:val="0"/>
        <w:spacing w:after="0"/>
        <w:jc w:val="both"/>
        <w:rPr>
          <w:rFonts w:eastAsia="Calibri" w:cs="Helvetica-Light"/>
          <w:color w:val="000000"/>
          <w:szCs w:val="24"/>
        </w:rPr>
      </w:pPr>
    </w:p>
    <w:p w14:paraId="19E37FA1" w14:textId="1DFF80AF" w:rsidR="00215905" w:rsidRPr="00515C87" w:rsidRDefault="00741EE3" w:rsidP="00E77F7E">
      <w:pPr>
        <w:autoSpaceDE w:val="0"/>
        <w:autoSpaceDN w:val="0"/>
        <w:adjustRightInd w:val="0"/>
        <w:spacing w:after="0"/>
        <w:jc w:val="both"/>
        <w:rPr>
          <w:rFonts w:eastAsia="Calibri" w:cs="Helvetica-Light"/>
          <w:color w:val="000000"/>
          <w:szCs w:val="24"/>
        </w:rPr>
      </w:pPr>
      <w:r w:rsidRPr="00741EE3">
        <w:rPr>
          <w:rFonts w:eastAsia="Calibri" w:cs="Helvetica-Light"/>
          <w:color w:val="000000"/>
          <w:szCs w:val="24"/>
        </w:rPr>
        <w:t>The position will be closely monitored by the Director of Finance and any changes will be reflecte</w:t>
      </w:r>
      <w:r w:rsidR="00515C87">
        <w:rPr>
          <w:rFonts w:eastAsia="Calibri" w:cs="Helvetica-Light"/>
          <w:color w:val="000000"/>
          <w:szCs w:val="24"/>
        </w:rPr>
        <w:t>d in forecasts presented to c</w:t>
      </w:r>
      <w:r w:rsidRPr="00741EE3">
        <w:rPr>
          <w:rFonts w:eastAsia="Calibri" w:cs="Helvetica-Light"/>
          <w:color w:val="000000"/>
          <w:szCs w:val="24"/>
        </w:rPr>
        <w:t>abinet.</w:t>
      </w:r>
      <w:r>
        <w:rPr>
          <w:rFonts w:eastAsia="Calibri" w:cs="Helvetica-Light"/>
          <w:color w:val="000000"/>
          <w:szCs w:val="24"/>
        </w:rPr>
        <w:t xml:space="preserve"> </w:t>
      </w:r>
    </w:p>
    <w:p w14:paraId="552DB96E" w14:textId="05C79EB4" w:rsidR="00AA35F3" w:rsidRPr="00AC2FA3" w:rsidRDefault="00595403" w:rsidP="00595403">
      <w:pPr>
        <w:tabs>
          <w:tab w:val="left" w:pos="6949"/>
        </w:tabs>
        <w:autoSpaceDE w:val="0"/>
        <w:autoSpaceDN w:val="0"/>
        <w:adjustRightInd w:val="0"/>
        <w:spacing w:after="0"/>
        <w:jc w:val="both"/>
        <w:rPr>
          <w:rFonts w:cs="Arial"/>
          <w:szCs w:val="24"/>
        </w:rPr>
      </w:pPr>
      <w:r w:rsidRPr="00AC2FA3">
        <w:rPr>
          <w:rFonts w:eastAsia="Calibri" w:cs="Helvetica-Light"/>
          <w:color w:val="000000"/>
          <w:szCs w:val="24"/>
        </w:rPr>
        <w:tab/>
      </w:r>
    </w:p>
    <w:p w14:paraId="562F9EE1" w14:textId="68382D2D" w:rsidR="00CC70E0" w:rsidRPr="00AC2FA3" w:rsidRDefault="00F7294A" w:rsidP="001D0484">
      <w:pPr>
        <w:spacing w:after="0"/>
        <w:jc w:val="both"/>
        <w:rPr>
          <w:rFonts w:cs="Arial"/>
          <w:b/>
          <w:szCs w:val="24"/>
        </w:rPr>
      </w:pPr>
      <w:r>
        <w:rPr>
          <w:rFonts w:cs="Arial"/>
          <w:b/>
          <w:bCs/>
          <w:szCs w:val="24"/>
        </w:rPr>
        <w:t>7</w:t>
      </w:r>
      <w:r w:rsidR="0002062B" w:rsidRPr="00AC2FA3">
        <w:rPr>
          <w:rFonts w:cs="Arial"/>
          <w:b/>
          <w:bCs/>
          <w:szCs w:val="24"/>
        </w:rPr>
        <w:t xml:space="preserve">. </w:t>
      </w:r>
      <w:r w:rsidR="00CC70E0" w:rsidRPr="00AC2FA3">
        <w:rPr>
          <w:rFonts w:cs="Arial"/>
          <w:b/>
          <w:bCs/>
          <w:szCs w:val="24"/>
        </w:rPr>
        <w:t xml:space="preserve">Council Tax for </w:t>
      </w:r>
      <w:r w:rsidR="00AC2FA3" w:rsidRPr="00AC2FA3">
        <w:rPr>
          <w:rFonts w:cs="Arial"/>
          <w:b/>
          <w:bCs/>
          <w:szCs w:val="24"/>
        </w:rPr>
        <w:t>2019</w:t>
      </w:r>
      <w:r w:rsidR="00D05BCC" w:rsidRPr="00AC2FA3">
        <w:rPr>
          <w:rFonts w:cs="Arial"/>
          <w:b/>
          <w:bCs/>
          <w:szCs w:val="24"/>
        </w:rPr>
        <w:t>/</w:t>
      </w:r>
      <w:r w:rsidR="00AC2FA3" w:rsidRPr="00AC2FA3">
        <w:rPr>
          <w:rFonts w:cs="Arial"/>
          <w:b/>
          <w:bCs/>
          <w:szCs w:val="24"/>
        </w:rPr>
        <w:t>20</w:t>
      </w:r>
    </w:p>
    <w:p w14:paraId="7BEF097B" w14:textId="77777777" w:rsidR="00CC70E0" w:rsidRPr="00AC2FA3" w:rsidRDefault="00CC70E0" w:rsidP="001D0484">
      <w:pPr>
        <w:spacing w:after="0"/>
        <w:jc w:val="both"/>
        <w:rPr>
          <w:rFonts w:cs="Arial"/>
          <w:b/>
          <w:bCs/>
          <w:szCs w:val="24"/>
        </w:rPr>
      </w:pPr>
    </w:p>
    <w:p w14:paraId="1C4BBB88" w14:textId="2944774B" w:rsidR="0036718B" w:rsidRPr="00AC2FA3" w:rsidRDefault="00C173E7" w:rsidP="001D0484">
      <w:pPr>
        <w:spacing w:after="0"/>
        <w:jc w:val="both"/>
        <w:rPr>
          <w:rFonts w:cs="Arial"/>
          <w:szCs w:val="24"/>
        </w:rPr>
      </w:pPr>
      <w:r>
        <w:rPr>
          <w:rFonts w:cs="Arial"/>
          <w:szCs w:val="24"/>
        </w:rPr>
        <w:t>The recommendation of the cabinet to full c</w:t>
      </w:r>
      <w:r w:rsidR="0022038B" w:rsidRPr="00AC2FA3">
        <w:rPr>
          <w:rFonts w:cs="Arial"/>
          <w:szCs w:val="24"/>
        </w:rPr>
        <w:t xml:space="preserve">ouncil on the council tax requirement is </w:t>
      </w:r>
      <w:r>
        <w:rPr>
          <w:rFonts w:cs="Arial"/>
          <w:szCs w:val="24"/>
        </w:rPr>
        <w:t>that the band D council t</w:t>
      </w:r>
      <w:r w:rsidR="0036718B" w:rsidRPr="00AC2FA3">
        <w:rPr>
          <w:rFonts w:cs="Arial"/>
          <w:szCs w:val="24"/>
        </w:rPr>
        <w:t xml:space="preserve">ax for </w:t>
      </w:r>
      <w:r>
        <w:rPr>
          <w:rFonts w:cs="Arial"/>
          <w:szCs w:val="24"/>
        </w:rPr>
        <w:t>2019/20</w:t>
      </w:r>
      <w:r w:rsidR="0036718B" w:rsidRPr="00AC2FA3">
        <w:rPr>
          <w:rFonts w:cs="Arial"/>
          <w:szCs w:val="24"/>
        </w:rPr>
        <w:t xml:space="preserve"> </w:t>
      </w:r>
      <w:r w:rsidR="00697455" w:rsidRPr="00AC2FA3">
        <w:rPr>
          <w:rFonts w:cs="Arial"/>
          <w:szCs w:val="24"/>
        </w:rPr>
        <w:t>be increased</w:t>
      </w:r>
      <w:r w:rsidR="0036718B" w:rsidRPr="00AC2FA3">
        <w:rPr>
          <w:rFonts w:cs="Arial"/>
          <w:szCs w:val="24"/>
        </w:rPr>
        <w:t xml:space="preserve"> </w:t>
      </w:r>
      <w:r w:rsidR="00BA1DB3" w:rsidRPr="00AC2FA3">
        <w:rPr>
          <w:rFonts w:cs="Arial"/>
          <w:szCs w:val="24"/>
        </w:rPr>
        <w:t xml:space="preserve">by </w:t>
      </w:r>
      <w:r w:rsidR="00AC2FA3" w:rsidRPr="00AC2FA3">
        <w:rPr>
          <w:rFonts w:cs="Arial"/>
          <w:szCs w:val="24"/>
        </w:rPr>
        <w:t>3</w:t>
      </w:r>
      <w:r w:rsidR="0036718B" w:rsidRPr="00AC2FA3">
        <w:rPr>
          <w:rFonts w:cs="Arial"/>
          <w:szCs w:val="24"/>
        </w:rPr>
        <w:t xml:space="preserve">.99% </w:t>
      </w:r>
      <w:r w:rsidR="00697455" w:rsidRPr="00AC2FA3">
        <w:rPr>
          <w:rFonts w:cs="Arial"/>
          <w:szCs w:val="24"/>
        </w:rPr>
        <w:t>which includes the</w:t>
      </w:r>
      <w:r w:rsidR="0036718B" w:rsidRPr="00AC2FA3">
        <w:rPr>
          <w:rFonts w:cs="Arial"/>
          <w:szCs w:val="24"/>
        </w:rPr>
        <w:t xml:space="preserve"> </w:t>
      </w:r>
      <w:r w:rsidR="00AC2FA3" w:rsidRPr="00AC2FA3">
        <w:rPr>
          <w:rFonts w:cs="Arial"/>
          <w:szCs w:val="24"/>
        </w:rPr>
        <w:t>1</w:t>
      </w:r>
      <w:r w:rsidR="0036718B" w:rsidRPr="00AC2FA3">
        <w:rPr>
          <w:rFonts w:cs="Arial"/>
          <w:szCs w:val="24"/>
        </w:rPr>
        <w:t xml:space="preserve">% social care </w:t>
      </w:r>
      <w:r w:rsidR="005107A8" w:rsidRPr="00AC2FA3">
        <w:rPr>
          <w:rFonts w:cs="Arial"/>
          <w:szCs w:val="24"/>
        </w:rPr>
        <w:t xml:space="preserve">precept. </w:t>
      </w:r>
      <w:r w:rsidR="00697455" w:rsidRPr="00AC2FA3">
        <w:rPr>
          <w:rFonts w:cs="Arial"/>
          <w:szCs w:val="24"/>
        </w:rPr>
        <w:t xml:space="preserve">The impact of these increases are: </w:t>
      </w:r>
    </w:p>
    <w:p w14:paraId="0E635E29" w14:textId="77777777" w:rsidR="00942054" w:rsidRPr="00AC2FA3" w:rsidRDefault="00942054" w:rsidP="004321DB">
      <w:pPr>
        <w:spacing w:after="0"/>
        <w:jc w:val="both"/>
        <w:rPr>
          <w:rFonts w:cs="Arial"/>
          <w:szCs w:val="24"/>
        </w:rPr>
      </w:pPr>
    </w:p>
    <w:p w14:paraId="068171D4" w14:textId="399CC481" w:rsidR="005107A8" w:rsidRPr="00AC2FA3" w:rsidRDefault="00F7294A" w:rsidP="004321DB">
      <w:pPr>
        <w:spacing w:after="0"/>
        <w:jc w:val="both"/>
        <w:rPr>
          <w:rFonts w:cs="Arial"/>
          <w:b/>
          <w:szCs w:val="24"/>
          <w:u w:val="single"/>
        </w:rPr>
      </w:pPr>
      <w:r>
        <w:rPr>
          <w:rFonts w:cs="Arial"/>
          <w:b/>
          <w:szCs w:val="24"/>
          <w:u w:val="single"/>
        </w:rPr>
        <w:t>Table 14</w:t>
      </w:r>
    </w:p>
    <w:p w14:paraId="30C34F68" w14:textId="77777777" w:rsidR="00E77F7E" w:rsidRPr="00DE45C1" w:rsidRDefault="00E77F7E" w:rsidP="004321DB">
      <w:pPr>
        <w:spacing w:after="0"/>
        <w:jc w:val="both"/>
        <w:rPr>
          <w:rFonts w:cs="Arial"/>
          <w:b/>
          <w:szCs w:val="24"/>
          <w:highlight w:val="yellow"/>
          <w:u w:val="single"/>
        </w:rPr>
      </w:pPr>
    </w:p>
    <w:tbl>
      <w:tblPr>
        <w:tblStyle w:val="TableGrid"/>
        <w:tblW w:w="0" w:type="auto"/>
        <w:tblLook w:val="04A0" w:firstRow="1" w:lastRow="0" w:firstColumn="1" w:lastColumn="0" w:noHBand="0" w:noVBand="1"/>
      </w:tblPr>
      <w:tblGrid>
        <w:gridCol w:w="4390"/>
        <w:gridCol w:w="2268"/>
        <w:gridCol w:w="2358"/>
      </w:tblGrid>
      <w:tr w:rsidR="00697455" w:rsidRPr="00DE45C1" w14:paraId="1CF9DC14" w14:textId="77777777" w:rsidTr="005D7B41">
        <w:trPr>
          <w:trHeight w:val="606"/>
        </w:trPr>
        <w:tc>
          <w:tcPr>
            <w:tcW w:w="4390" w:type="dxa"/>
            <w:shd w:val="clear" w:color="auto" w:fill="BFBFBF" w:themeFill="background1" w:themeFillShade="BF"/>
          </w:tcPr>
          <w:p w14:paraId="2EF8759C" w14:textId="77777777" w:rsidR="00697455" w:rsidRPr="00DE45C1" w:rsidRDefault="00697455" w:rsidP="004321DB">
            <w:pPr>
              <w:jc w:val="both"/>
              <w:rPr>
                <w:rFonts w:cs="Arial"/>
                <w:b/>
                <w:szCs w:val="24"/>
                <w:highlight w:val="yellow"/>
              </w:rPr>
            </w:pPr>
          </w:p>
        </w:tc>
        <w:tc>
          <w:tcPr>
            <w:tcW w:w="2268" w:type="dxa"/>
            <w:shd w:val="clear" w:color="auto" w:fill="BFBFBF" w:themeFill="background1" w:themeFillShade="BF"/>
            <w:vAlign w:val="center"/>
          </w:tcPr>
          <w:p w14:paraId="0CC49FDE" w14:textId="77777777" w:rsidR="00697455" w:rsidRPr="00AC2FA3" w:rsidRDefault="00697455" w:rsidP="00E22728">
            <w:pPr>
              <w:jc w:val="center"/>
              <w:rPr>
                <w:rFonts w:cs="Arial"/>
                <w:b/>
                <w:szCs w:val="24"/>
              </w:rPr>
            </w:pPr>
            <w:r w:rsidRPr="00AC2FA3">
              <w:rPr>
                <w:rFonts w:cs="Arial"/>
                <w:b/>
                <w:szCs w:val="24"/>
              </w:rPr>
              <w:t xml:space="preserve">Band D </w:t>
            </w:r>
            <w:r w:rsidR="00E22728" w:rsidRPr="00AC2FA3">
              <w:rPr>
                <w:rFonts w:cs="Arial"/>
                <w:b/>
                <w:szCs w:val="24"/>
              </w:rPr>
              <w:t>C</w:t>
            </w:r>
            <w:r w:rsidRPr="00AC2FA3">
              <w:rPr>
                <w:rFonts w:cs="Arial"/>
                <w:b/>
                <w:szCs w:val="24"/>
              </w:rPr>
              <w:t>ouncil Tax</w:t>
            </w:r>
          </w:p>
        </w:tc>
        <w:tc>
          <w:tcPr>
            <w:tcW w:w="2358" w:type="dxa"/>
            <w:shd w:val="clear" w:color="auto" w:fill="BFBFBF" w:themeFill="background1" w:themeFillShade="BF"/>
            <w:vAlign w:val="center"/>
          </w:tcPr>
          <w:p w14:paraId="6E35B1FB" w14:textId="77777777" w:rsidR="00697455" w:rsidRPr="00AC2FA3" w:rsidRDefault="00697455" w:rsidP="00503CD6">
            <w:pPr>
              <w:jc w:val="center"/>
              <w:rPr>
                <w:rFonts w:cs="Arial"/>
                <w:b/>
                <w:szCs w:val="24"/>
              </w:rPr>
            </w:pPr>
            <w:r w:rsidRPr="00AC2FA3">
              <w:rPr>
                <w:rFonts w:cs="Arial"/>
                <w:b/>
                <w:szCs w:val="24"/>
              </w:rPr>
              <w:t>C</w:t>
            </w:r>
            <w:r w:rsidR="00E22728" w:rsidRPr="00AC2FA3">
              <w:rPr>
                <w:rFonts w:cs="Arial"/>
                <w:b/>
                <w:szCs w:val="24"/>
              </w:rPr>
              <w:t>ouncil T</w:t>
            </w:r>
            <w:r w:rsidRPr="00AC2FA3">
              <w:rPr>
                <w:rFonts w:cs="Arial"/>
                <w:b/>
                <w:szCs w:val="24"/>
              </w:rPr>
              <w:t>ax income</w:t>
            </w:r>
          </w:p>
        </w:tc>
      </w:tr>
      <w:tr w:rsidR="00697455" w:rsidRPr="00DE45C1" w14:paraId="2989CF0C" w14:textId="77777777" w:rsidTr="005D7B41">
        <w:trPr>
          <w:trHeight w:val="521"/>
        </w:trPr>
        <w:tc>
          <w:tcPr>
            <w:tcW w:w="4390" w:type="dxa"/>
            <w:vAlign w:val="center"/>
          </w:tcPr>
          <w:p w14:paraId="387CA257" w14:textId="021D8F81" w:rsidR="00697455" w:rsidRPr="005C2F34" w:rsidRDefault="00697455" w:rsidP="007C0A63">
            <w:pPr>
              <w:jc w:val="both"/>
              <w:rPr>
                <w:rFonts w:cs="Arial"/>
                <w:szCs w:val="24"/>
              </w:rPr>
            </w:pPr>
            <w:r w:rsidRPr="005C2F34">
              <w:rPr>
                <w:rFonts w:cs="Arial"/>
                <w:szCs w:val="24"/>
              </w:rPr>
              <w:t xml:space="preserve">Adult Social Care Precept </w:t>
            </w:r>
            <w:r w:rsidR="00407446">
              <w:rPr>
                <w:rFonts w:cs="Arial"/>
                <w:szCs w:val="24"/>
              </w:rPr>
              <w:t xml:space="preserve">increase </w:t>
            </w:r>
            <w:r w:rsidRPr="005C2F34">
              <w:rPr>
                <w:rFonts w:cs="Arial"/>
                <w:szCs w:val="24"/>
              </w:rPr>
              <w:t xml:space="preserve">at </w:t>
            </w:r>
            <w:r w:rsidR="00AC2FA3" w:rsidRPr="005C2F34">
              <w:rPr>
                <w:rFonts w:cs="Arial"/>
                <w:szCs w:val="24"/>
              </w:rPr>
              <w:t>1</w:t>
            </w:r>
            <w:r w:rsidRPr="005C2F34">
              <w:rPr>
                <w:rFonts w:cs="Arial"/>
                <w:szCs w:val="24"/>
              </w:rPr>
              <w:t>%</w:t>
            </w:r>
          </w:p>
        </w:tc>
        <w:tc>
          <w:tcPr>
            <w:tcW w:w="2268" w:type="dxa"/>
            <w:vAlign w:val="center"/>
          </w:tcPr>
          <w:p w14:paraId="206CAA7D" w14:textId="608B43A4" w:rsidR="00697455" w:rsidRPr="005C2F34" w:rsidRDefault="00503CD6" w:rsidP="007C0A63">
            <w:pPr>
              <w:jc w:val="center"/>
              <w:rPr>
                <w:rFonts w:cs="Arial"/>
                <w:szCs w:val="24"/>
              </w:rPr>
            </w:pPr>
            <w:r w:rsidRPr="005C2F34">
              <w:rPr>
                <w:rFonts w:cs="Arial"/>
                <w:szCs w:val="24"/>
              </w:rPr>
              <w:t>£</w:t>
            </w:r>
            <w:r w:rsidR="005C2F34" w:rsidRPr="005C2F34">
              <w:rPr>
                <w:rFonts w:cs="Arial"/>
                <w:szCs w:val="24"/>
              </w:rPr>
              <w:t>12.95</w:t>
            </w:r>
          </w:p>
        </w:tc>
        <w:tc>
          <w:tcPr>
            <w:tcW w:w="2358" w:type="dxa"/>
            <w:shd w:val="clear" w:color="auto" w:fill="auto"/>
            <w:vAlign w:val="center"/>
          </w:tcPr>
          <w:p w14:paraId="03D550CF" w14:textId="21672666" w:rsidR="00697455" w:rsidRPr="005C2F34" w:rsidRDefault="00503CD6" w:rsidP="007C0A63">
            <w:pPr>
              <w:jc w:val="center"/>
              <w:rPr>
                <w:rFonts w:cs="Arial"/>
                <w:szCs w:val="24"/>
              </w:rPr>
            </w:pPr>
            <w:r w:rsidRPr="005C2F34">
              <w:rPr>
                <w:rFonts w:cs="Arial"/>
                <w:szCs w:val="24"/>
              </w:rPr>
              <w:t>£</w:t>
            </w:r>
            <w:r w:rsidR="005C2F34" w:rsidRPr="005C2F34">
              <w:rPr>
                <w:rFonts w:cs="Arial"/>
                <w:szCs w:val="24"/>
              </w:rPr>
              <w:t>4.750</w:t>
            </w:r>
            <w:r w:rsidRPr="005C2F34">
              <w:rPr>
                <w:rFonts w:cs="Arial"/>
                <w:szCs w:val="24"/>
              </w:rPr>
              <w:t>m</w:t>
            </w:r>
          </w:p>
        </w:tc>
      </w:tr>
      <w:tr w:rsidR="00697455" w:rsidRPr="00DE45C1" w14:paraId="5116414D" w14:textId="77777777" w:rsidTr="005D7B41">
        <w:trPr>
          <w:trHeight w:val="571"/>
        </w:trPr>
        <w:tc>
          <w:tcPr>
            <w:tcW w:w="4390" w:type="dxa"/>
            <w:vAlign w:val="center"/>
          </w:tcPr>
          <w:p w14:paraId="26D8BB87" w14:textId="6FEEF073" w:rsidR="00697455" w:rsidRPr="005C2F34" w:rsidRDefault="00697455" w:rsidP="007C0A63">
            <w:pPr>
              <w:jc w:val="both"/>
              <w:rPr>
                <w:rFonts w:cs="Arial"/>
                <w:szCs w:val="24"/>
              </w:rPr>
            </w:pPr>
            <w:r w:rsidRPr="005C2F34">
              <w:rPr>
                <w:rFonts w:cs="Arial"/>
                <w:szCs w:val="24"/>
              </w:rPr>
              <w:t xml:space="preserve">General Council Tax increase at </w:t>
            </w:r>
            <w:r w:rsidR="007C0A63" w:rsidRPr="005C2F34">
              <w:rPr>
                <w:rFonts w:cs="Arial"/>
                <w:szCs w:val="24"/>
              </w:rPr>
              <w:t>2</w:t>
            </w:r>
            <w:r w:rsidRPr="005C2F34">
              <w:rPr>
                <w:rFonts w:cs="Arial"/>
                <w:szCs w:val="24"/>
              </w:rPr>
              <w:t>.99%</w:t>
            </w:r>
          </w:p>
        </w:tc>
        <w:tc>
          <w:tcPr>
            <w:tcW w:w="2268" w:type="dxa"/>
            <w:vAlign w:val="center"/>
          </w:tcPr>
          <w:p w14:paraId="639EFE69" w14:textId="58036677" w:rsidR="00697455" w:rsidRPr="005C2F34" w:rsidRDefault="00503CD6" w:rsidP="007C0A63">
            <w:pPr>
              <w:jc w:val="center"/>
              <w:rPr>
                <w:rFonts w:cs="Arial"/>
                <w:szCs w:val="24"/>
              </w:rPr>
            </w:pPr>
            <w:r w:rsidRPr="005C2F34">
              <w:rPr>
                <w:rFonts w:cs="Arial"/>
                <w:szCs w:val="24"/>
              </w:rPr>
              <w:t>£</w:t>
            </w:r>
            <w:r w:rsidR="005C2F34" w:rsidRPr="005C2F34">
              <w:rPr>
                <w:rFonts w:cs="Arial"/>
                <w:szCs w:val="24"/>
              </w:rPr>
              <w:t>38.72</w:t>
            </w:r>
          </w:p>
        </w:tc>
        <w:tc>
          <w:tcPr>
            <w:tcW w:w="2358" w:type="dxa"/>
            <w:shd w:val="clear" w:color="auto" w:fill="auto"/>
            <w:vAlign w:val="center"/>
          </w:tcPr>
          <w:p w14:paraId="6592F036" w14:textId="394AD72B" w:rsidR="00697455" w:rsidRPr="005C2F34" w:rsidRDefault="00503CD6" w:rsidP="00F1670F">
            <w:pPr>
              <w:jc w:val="center"/>
              <w:rPr>
                <w:rFonts w:cs="Arial"/>
                <w:szCs w:val="24"/>
              </w:rPr>
            </w:pPr>
            <w:r w:rsidRPr="005C2F34">
              <w:rPr>
                <w:rFonts w:cs="Arial"/>
                <w:szCs w:val="24"/>
              </w:rPr>
              <w:t>£</w:t>
            </w:r>
            <w:r w:rsidR="005C2F34" w:rsidRPr="005C2F34">
              <w:rPr>
                <w:rFonts w:cs="Arial"/>
                <w:szCs w:val="24"/>
              </w:rPr>
              <w:t>14.202</w:t>
            </w:r>
            <w:r w:rsidRPr="005C2F34">
              <w:rPr>
                <w:rFonts w:cs="Arial"/>
                <w:szCs w:val="24"/>
              </w:rPr>
              <w:t>m</w:t>
            </w:r>
          </w:p>
        </w:tc>
      </w:tr>
    </w:tbl>
    <w:p w14:paraId="75943B82" w14:textId="77777777" w:rsidR="00CE14AC" w:rsidRPr="00DE45C1" w:rsidRDefault="00CE14AC" w:rsidP="004321DB">
      <w:pPr>
        <w:spacing w:after="0"/>
        <w:jc w:val="both"/>
        <w:rPr>
          <w:rFonts w:cs="Arial"/>
          <w:szCs w:val="24"/>
          <w:highlight w:val="yellow"/>
        </w:rPr>
      </w:pPr>
    </w:p>
    <w:p w14:paraId="27295C97" w14:textId="503BD3F8" w:rsidR="001371ED" w:rsidRDefault="005107A8" w:rsidP="004321DB">
      <w:pPr>
        <w:spacing w:after="0"/>
        <w:jc w:val="both"/>
        <w:rPr>
          <w:rFonts w:cs="Arial"/>
          <w:szCs w:val="24"/>
        </w:rPr>
      </w:pPr>
      <w:r w:rsidRPr="00AC2FA3">
        <w:rPr>
          <w:rFonts w:cs="Arial"/>
          <w:szCs w:val="24"/>
        </w:rPr>
        <w:t>The overall pos</w:t>
      </w:r>
      <w:r w:rsidR="007A4950">
        <w:rPr>
          <w:rFonts w:cs="Arial"/>
          <w:szCs w:val="24"/>
        </w:rPr>
        <w:t>ition is summaris</w:t>
      </w:r>
      <w:r w:rsidR="005D7B41">
        <w:rPr>
          <w:rFonts w:cs="Arial"/>
          <w:szCs w:val="24"/>
        </w:rPr>
        <w:t>ed as follows:</w:t>
      </w:r>
    </w:p>
    <w:p w14:paraId="699CC265" w14:textId="77777777" w:rsidR="005D7B41" w:rsidRPr="00AC2FA3" w:rsidRDefault="005D7B41" w:rsidP="004321DB">
      <w:pPr>
        <w:spacing w:after="0"/>
        <w:jc w:val="both"/>
        <w:rPr>
          <w:rFonts w:cs="Arial"/>
          <w:szCs w:val="24"/>
        </w:rPr>
      </w:pPr>
    </w:p>
    <w:p w14:paraId="697C09F8" w14:textId="119EF06C" w:rsidR="0020410E" w:rsidRDefault="00545F55" w:rsidP="00116970">
      <w:pPr>
        <w:spacing w:after="0"/>
        <w:rPr>
          <w:rFonts w:cs="Arial"/>
          <w:b/>
          <w:szCs w:val="24"/>
          <w:u w:val="single"/>
        </w:rPr>
      </w:pPr>
      <w:r w:rsidRPr="00AC2FA3">
        <w:rPr>
          <w:rFonts w:cs="Arial"/>
          <w:b/>
          <w:szCs w:val="24"/>
          <w:u w:val="single"/>
        </w:rPr>
        <w:t xml:space="preserve">Table </w:t>
      </w:r>
      <w:r w:rsidR="00F7294A">
        <w:rPr>
          <w:rFonts w:cs="Arial"/>
          <w:b/>
          <w:szCs w:val="24"/>
          <w:u w:val="single"/>
        </w:rPr>
        <w:t>15</w:t>
      </w:r>
    </w:p>
    <w:p w14:paraId="197A1A35" w14:textId="77777777" w:rsidR="00F75D23" w:rsidRPr="00AC2FA3" w:rsidRDefault="00F75D23" w:rsidP="00116970">
      <w:pPr>
        <w:spacing w:after="0"/>
        <w:rPr>
          <w:rFonts w:cs="Arial"/>
          <w:b/>
          <w:szCs w:val="24"/>
          <w:u w:val="single"/>
        </w:rPr>
      </w:pPr>
    </w:p>
    <w:tbl>
      <w:tblPr>
        <w:tblStyle w:val="TableGrid51"/>
        <w:tblW w:w="0" w:type="auto"/>
        <w:jc w:val="center"/>
        <w:tblLook w:val="04A0" w:firstRow="1" w:lastRow="0" w:firstColumn="1" w:lastColumn="0" w:noHBand="0" w:noVBand="1"/>
      </w:tblPr>
      <w:tblGrid>
        <w:gridCol w:w="5681"/>
        <w:gridCol w:w="2505"/>
      </w:tblGrid>
      <w:tr w:rsidR="00A536EA" w:rsidRPr="00AC2FA3" w14:paraId="5777CA1A" w14:textId="77777777" w:rsidTr="007928FA">
        <w:trPr>
          <w:trHeight w:val="377"/>
          <w:jc w:val="center"/>
        </w:trPr>
        <w:tc>
          <w:tcPr>
            <w:tcW w:w="5681" w:type="dxa"/>
            <w:shd w:val="clear" w:color="auto" w:fill="BFBFBF" w:themeFill="background1" w:themeFillShade="BF"/>
            <w:vAlign w:val="center"/>
          </w:tcPr>
          <w:p w14:paraId="4E609CEA" w14:textId="77777777" w:rsidR="00A536EA" w:rsidRPr="00AC2FA3" w:rsidRDefault="00A536EA" w:rsidP="00A536EA">
            <w:pPr>
              <w:autoSpaceDE w:val="0"/>
              <w:autoSpaceDN w:val="0"/>
              <w:adjustRightInd w:val="0"/>
              <w:spacing w:line="276" w:lineRule="auto"/>
              <w:jc w:val="both"/>
              <w:rPr>
                <w:rFonts w:cs="Arial"/>
                <w:b/>
                <w:szCs w:val="24"/>
              </w:rPr>
            </w:pPr>
          </w:p>
        </w:tc>
        <w:tc>
          <w:tcPr>
            <w:tcW w:w="2505" w:type="dxa"/>
            <w:shd w:val="clear" w:color="auto" w:fill="BFBFBF" w:themeFill="background1" w:themeFillShade="BF"/>
            <w:vAlign w:val="center"/>
          </w:tcPr>
          <w:p w14:paraId="6B708A55" w14:textId="77777777" w:rsidR="00A536EA" w:rsidRPr="00AC2FA3" w:rsidRDefault="00A536EA" w:rsidP="00A536EA">
            <w:pPr>
              <w:autoSpaceDE w:val="0"/>
              <w:autoSpaceDN w:val="0"/>
              <w:adjustRightInd w:val="0"/>
              <w:spacing w:line="276" w:lineRule="auto"/>
              <w:jc w:val="center"/>
              <w:rPr>
                <w:rFonts w:cs="Arial"/>
                <w:b/>
                <w:szCs w:val="24"/>
              </w:rPr>
            </w:pPr>
            <w:r w:rsidRPr="00AC2FA3">
              <w:rPr>
                <w:rFonts w:cs="Arial"/>
                <w:b/>
                <w:szCs w:val="24"/>
              </w:rPr>
              <w:t>£m</w:t>
            </w:r>
          </w:p>
        </w:tc>
      </w:tr>
      <w:tr w:rsidR="00A536EA" w:rsidRPr="00AC2FA3" w14:paraId="5EEAB020" w14:textId="77777777" w:rsidTr="007928FA">
        <w:trPr>
          <w:trHeight w:val="377"/>
          <w:jc w:val="center"/>
        </w:trPr>
        <w:tc>
          <w:tcPr>
            <w:tcW w:w="5681" w:type="dxa"/>
            <w:shd w:val="clear" w:color="auto" w:fill="BFBFBF" w:themeFill="background1" w:themeFillShade="BF"/>
            <w:vAlign w:val="center"/>
          </w:tcPr>
          <w:p w14:paraId="29911E97" w14:textId="77777777" w:rsidR="00A536EA" w:rsidRPr="0020410E" w:rsidRDefault="00A536EA" w:rsidP="00A536EA">
            <w:pPr>
              <w:autoSpaceDE w:val="0"/>
              <w:autoSpaceDN w:val="0"/>
              <w:adjustRightInd w:val="0"/>
              <w:spacing w:line="276" w:lineRule="auto"/>
              <w:jc w:val="both"/>
              <w:rPr>
                <w:rFonts w:cs="Arial"/>
                <w:b/>
                <w:szCs w:val="24"/>
              </w:rPr>
            </w:pPr>
            <w:r w:rsidRPr="0020410E">
              <w:rPr>
                <w:rFonts w:cs="Arial"/>
                <w:b/>
                <w:szCs w:val="24"/>
              </w:rPr>
              <w:t>Budget Requirement</w:t>
            </w:r>
          </w:p>
        </w:tc>
        <w:tc>
          <w:tcPr>
            <w:tcW w:w="2505" w:type="dxa"/>
            <w:shd w:val="clear" w:color="auto" w:fill="BFBFBF" w:themeFill="background1" w:themeFillShade="BF"/>
            <w:vAlign w:val="center"/>
          </w:tcPr>
          <w:p w14:paraId="3F4F43D9" w14:textId="79E4BADC" w:rsidR="00A536EA" w:rsidRPr="0020410E" w:rsidRDefault="0020410E" w:rsidP="00F75D23">
            <w:pPr>
              <w:autoSpaceDE w:val="0"/>
              <w:autoSpaceDN w:val="0"/>
              <w:adjustRightInd w:val="0"/>
              <w:spacing w:line="276" w:lineRule="auto"/>
              <w:jc w:val="center"/>
              <w:rPr>
                <w:rFonts w:cs="Arial"/>
                <w:b/>
                <w:szCs w:val="24"/>
              </w:rPr>
            </w:pPr>
            <w:r>
              <w:rPr>
                <w:rFonts w:cs="Arial"/>
                <w:b/>
                <w:szCs w:val="24"/>
              </w:rPr>
              <w:t>8</w:t>
            </w:r>
            <w:r w:rsidR="00F75D23">
              <w:rPr>
                <w:rFonts w:cs="Arial"/>
                <w:b/>
                <w:szCs w:val="24"/>
              </w:rPr>
              <w:t>02.275</w:t>
            </w:r>
          </w:p>
        </w:tc>
      </w:tr>
      <w:tr w:rsidR="00AC2FA3" w:rsidRPr="00AC2FA3" w14:paraId="06034AD2" w14:textId="77777777" w:rsidTr="007928FA">
        <w:trPr>
          <w:trHeight w:val="400"/>
          <w:jc w:val="center"/>
        </w:trPr>
        <w:tc>
          <w:tcPr>
            <w:tcW w:w="5681" w:type="dxa"/>
            <w:vAlign w:val="center"/>
          </w:tcPr>
          <w:p w14:paraId="4E0F72AF" w14:textId="44C3BD33" w:rsidR="00AC2FA3" w:rsidRPr="0020410E" w:rsidRDefault="00AC2FA3" w:rsidP="00AC2FA3">
            <w:pPr>
              <w:autoSpaceDE w:val="0"/>
              <w:autoSpaceDN w:val="0"/>
              <w:adjustRightInd w:val="0"/>
              <w:spacing w:line="276" w:lineRule="auto"/>
              <w:jc w:val="both"/>
              <w:rPr>
                <w:rFonts w:cs="Arial"/>
                <w:szCs w:val="24"/>
              </w:rPr>
            </w:pPr>
            <w:r w:rsidRPr="0020410E">
              <w:rPr>
                <w:rFonts w:cs="Arial"/>
                <w:color w:val="000000"/>
                <w:szCs w:val="24"/>
              </w:rPr>
              <w:t>Less Business Rates</w:t>
            </w:r>
          </w:p>
        </w:tc>
        <w:tc>
          <w:tcPr>
            <w:tcW w:w="2505" w:type="dxa"/>
            <w:vAlign w:val="center"/>
          </w:tcPr>
          <w:p w14:paraId="41AF880E" w14:textId="08B29E03" w:rsidR="00AC2FA3" w:rsidRPr="0020410E" w:rsidRDefault="0020410E" w:rsidP="00AC2FA3">
            <w:pPr>
              <w:autoSpaceDE w:val="0"/>
              <w:autoSpaceDN w:val="0"/>
              <w:adjustRightInd w:val="0"/>
              <w:spacing w:line="276" w:lineRule="auto"/>
              <w:jc w:val="center"/>
              <w:rPr>
                <w:rFonts w:cs="Arial"/>
                <w:szCs w:val="24"/>
              </w:rPr>
            </w:pPr>
            <w:r w:rsidRPr="0020410E">
              <w:rPr>
                <w:rFonts w:cs="Arial"/>
                <w:color w:val="000000"/>
                <w:szCs w:val="24"/>
              </w:rPr>
              <w:t>230.657</w:t>
            </w:r>
          </w:p>
        </w:tc>
      </w:tr>
      <w:tr w:rsidR="00AC2FA3" w:rsidRPr="00AC2FA3" w14:paraId="5B86CEA2" w14:textId="77777777" w:rsidTr="007928FA">
        <w:trPr>
          <w:trHeight w:val="400"/>
          <w:jc w:val="center"/>
        </w:trPr>
        <w:tc>
          <w:tcPr>
            <w:tcW w:w="5681" w:type="dxa"/>
            <w:vAlign w:val="center"/>
          </w:tcPr>
          <w:p w14:paraId="475A0393" w14:textId="519D3B8E" w:rsidR="00AC2FA3" w:rsidRPr="0020410E" w:rsidRDefault="00AC2FA3" w:rsidP="00AC2FA3">
            <w:pPr>
              <w:autoSpaceDE w:val="0"/>
              <w:autoSpaceDN w:val="0"/>
              <w:adjustRightInd w:val="0"/>
              <w:spacing w:line="276" w:lineRule="auto"/>
              <w:jc w:val="both"/>
              <w:rPr>
                <w:rFonts w:cs="Arial"/>
                <w:szCs w:val="24"/>
              </w:rPr>
            </w:pPr>
            <w:r w:rsidRPr="0020410E">
              <w:rPr>
                <w:rFonts w:cs="Arial"/>
                <w:color w:val="000000"/>
                <w:szCs w:val="24"/>
              </w:rPr>
              <w:t>Less Business Rates – Additional Levy</w:t>
            </w:r>
          </w:p>
        </w:tc>
        <w:tc>
          <w:tcPr>
            <w:tcW w:w="2505" w:type="dxa"/>
            <w:vAlign w:val="center"/>
          </w:tcPr>
          <w:p w14:paraId="6347FB76" w14:textId="36422E22" w:rsidR="00AC2FA3" w:rsidRPr="0020410E" w:rsidRDefault="00AC2FA3" w:rsidP="00AC2FA3">
            <w:pPr>
              <w:autoSpaceDE w:val="0"/>
              <w:autoSpaceDN w:val="0"/>
              <w:adjustRightInd w:val="0"/>
              <w:spacing w:line="276" w:lineRule="auto"/>
              <w:jc w:val="center"/>
              <w:rPr>
                <w:rFonts w:cs="Arial"/>
                <w:szCs w:val="24"/>
              </w:rPr>
            </w:pPr>
            <w:r w:rsidRPr="0020410E">
              <w:rPr>
                <w:rFonts w:cs="Arial"/>
                <w:color w:val="000000"/>
                <w:szCs w:val="24"/>
              </w:rPr>
              <w:t>2.860</w:t>
            </w:r>
          </w:p>
        </w:tc>
      </w:tr>
      <w:tr w:rsidR="00AC2FA3" w:rsidRPr="00AC2FA3" w14:paraId="36BB182F" w14:textId="77777777" w:rsidTr="007928FA">
        <w:trPr>
          <w:trHeight w:val="400"/>
          <w:jc w:val="center"/>
        </w:trPr>
        <w:tc>
          <w:tcPr>
            <w:tcW w:w="5681" w:type="dxa"/>
            <w:vAlign w:val="center"/>
          </w:tcPr>
          <w:p w14:paraId="5DB204DA" w14:textId="180297D8" w:rsidR="00AC2FA3" w:rsidRPr="0020410E" w:rsidRDefault="00AC2FA3" w:rsidP="00AC2FA3">
            <w:pPr>
              <w:autoSpaceDE w:val="0"/>
              <w:autoSpaceDN w:val="0"/>
              <w:adjustRightInd w:val="0"/>
              <w:spacing w:line="276" w:lineRule="auto"/>
              <w:jc w:val="both"/>
              <w:rPr>
                <w:rFonts w:cs="Arial"/>
                <w:szCs w:val="24"/>
              </w:rPr>
            </w:pPr>
            <w:r w:rsidRPr="0020410E">
              <w:rPr>
                <w:rFonts w:cs="Arial"/>
                <w:color w:val="000000"/>
                <w:szCs w:val="24"/>
              </w:rPr>
              <w:t>Less Business Rates – Pilot growth</w:t>
            </w:r>
          </w:p>
        </w:tc>
        <w:tc>
          <w:tcPr>
            <w:tcW w:w="2505" w:type="dxa"/>
            <w:vAlign w:val="center"/>
          </w:tcPr>
          <w:p w14:paraId="1170FD88" w14:textId="77A52604" w:rsidR="00AC2FA3" w:rsidRPr="0020410E" w:rsidRDefault="0020410E" w:rsidP="00AC2FA3">
            <w:pPr>
              <w:autoSpaceDE w:val="0"/>
              <w:autoSpaceDN w:val="0"/>
              <w:adjustRightInd w:val="0"/>
              <w:spacing w:line="276" w:lineRule="auto"/>
              <w:jc w:val="center"/>
              <w:rPr>
                <w:rFonts w:cs="Arial"/>
                <w:szCs w:val="24"/>
              </w:rPr>
            </w:pPr>
            <w:r w:rsidRPr="0020410E">
              <w:rPr>
                <w:rFonts w:cs="Arial"/>
                <w:color w:val="000000"/>
                <w:szCs w:val="24"/>
              </w:rPr>
              <w:t>2.886</w:t>
            </w:r>
          </w:p>
        </w:tc>
      </w:tr>
      <w:tr w:rsidR="00AC2FA3" w:rsidRPr="00AC2FA3" w14:paraId="3AE4721C" w14:textId="77777777" w:rsidTr="007928FA">
        <w:trPr>
          <w:trHeight w:val="400"/>
          <w:jc w:val="center"/>
        </w:trPr>
        <w:tc>
          <w:tcPr>
            <w:tcW w:w="5681" w:type="dxa"/>
            <w:vAlign w:val="center"/>
          </w:tcPr>
          <w:p w14:paraId="6DEFC624" w14:textId="1C065EA2" w:rsidR="00AC2FA3" w:rsidRPr="0020410E" w:rsidRDefault="00AC2FA3" w:rsidP="00AC2FA3">
            <w:pPr>
              <w:autoSpaceDE w:val="0"/>
              <w:autoSpaceDN w:val="0"/>
              <w:adjustRightInd w:val="0"/>
              <w:jc w:val="both"/>
              <w:rPr>
                <w:rFonts w:cs="Arial"/>
                <w:szCs w:val="24"/>
              </w:rPr>
            </w:pPr>
            <w:r w:rsidRPr="0020410E">
              <w:rPr>
                <w:rFonts w:cs="Arial"/>
                <w:color w:val="000000"/>
                <w:szCs w:val="24"/>
              </w:rPr>
              <w:t>Less New Homes Bonus</w:t>
            </w:r>
          </w:p>
        </w:tc>
        <w:tc>
          <w:tcPr>
            <w:tcW w:w="2505" w:type="dxa"/>
            <w:vAlign w:val="center"/>
          </w:tcPr>
          <w:p w14:paraId="22914A84" w14:textId="2BD5E629" w:rsidR="00AC2FA3" w:rsidRPr="0020410E" w:rsidRDefault="0020410E" w:rsidP="00AC2FA3">
            <w:pPr>
              <w:autoSpaceDE w:val="0"/>
              <w:autoSpaceDN w:val="0"/>
              <w:adjustRightInd w:val="0"/>
              <w:jc w:val="center"/>
              <w:rPr>
                <w:rFonts w:cs="Arial"/>
                <w:szCs w:val="24"/>
              </w:rPr>
            </w:pPr>
            <w:r w:rsidRPr="0020410E">
              <w:rPr>
                <w:rFonts w:cs="Arial"/>
                <w:color w:val="000000"/>
                <w:szCs w:val="24"/>
              </w:rPr>
              <w:t>3.579</w:t>
            </w:r>
          </w:p>
        </w:tc>
      </w:tr>
      <w:tr w:rsidR="00AC2FA3" w:rsidRPr="00AC2FA3" w14:paraId="07317C1A" w14:textId="77777777" w:rsidTr="007928FA">
        <w:trPr>
          <w:trHeight w:val="400"/>
          <w:jc w:val="center"/>
        </w:trPr>
        <w:tc>
          <w:tcPr>
            <w:tcW w:w="5681" w:type="dxa"/>
            <w:vAlign w:val="center"/>
          </w:tcPr>
          <w:p w14:paraId="5B4D0D55" w14:textId="4EDB5C37" w:rsidR="00AC2FA3" w:rsidRPr="0020410E" w:rsidRDefault="00AC2FA3" w:rsidP="00AC2FA3">
            <w:pPr>
              <w:autoSpaceDE w:val="0"/>
              <w:autoSpaceDN w:val="0"/>
              <w:adjustRightInd w:val="0"/>
              <w:jc w:val="both"/>
              <w:rPr>
                <w:rFonts w:cs="Arial"/>
                <w:szCs w:val="24"/>
              </w:rPr>
            </w:pPr>
            <w:r w:rsidRPr="0020410E">
              <w:rPr>
                <w:rFonts w:cs="Arial"/>
                <w:color w:val="000000"/>
                <w:szCs w:val="24"/>
              </w:rPr>
              <w:t>Less Improved Better Care Fund</w:t>
            </w:r>
          </w:p>
        </w:tc>
        <w:tc>
          <w:tcPr>
            <w:tcW w:w="2505" w:type="dxa"/>
            <w:vAlign w:val="center"/>
          </w:tcPr>
          <w:p w14:paraId="36055F9B" w14:textId="2215C67C" w:rsidR="00AC2FA3" w:rsidRPr="0020410E" w:rsidRDefault="00F75D23" w:rsidP="00AC2FA3">
            <w:pPr>
              <w:autoSpaceDE w:val="0"/>
              <w:autoSpaceDN w:val="0"/>
              <w:adjustRightInd w:val="0"/>
              <w:jc w:val="center"/>
              <w:rPr>
                <w:rFonts w:cs="Arial"/>
                <w:szCs w:val="24"/>
              </w:rPr>
            </w:pPr>
            <w:r>
              <w:rPr>
                <w:rFonts w:cs="Arial"/>
                <w:szCs w:val="24"/>
              </w:rPr>
              <w:t>45.532</w:t>
            </w:r>
          </w:p>
        </w:tc>
      </w:tr>
      <w:tr w:rsidR="00AC2FA3" w:rsidRPr="00AC2FA3" w14:paraId="44A80D29" w14:textId="77777777" w:rsidTr="007928FA">
        <w:trPr>
          <w:trHeight w:val="400"/>
          <w:jc w:val="center"/>
        </w:trPr>
        <w:tc>
          <w:tcPr>
            <w:tcW w:w="5681" w:type="dxa"/>
            <w:vAlign w:val="center"/>
          </w:tcPr>
          <w:p w14:paraId="4D88676F" w14:textId="506D95A7" w:rsidR="00AC2FA3" w:rsidRPr="0020410E" w:rsidRDefault="00AC2FA3" w:rsidP="00AC2FA3">
            <w:pPr>
              <w:autoSpaceDE w:val="0"/>
              <w:autoSpaceDN w:val="0"/>
              <w:adjustRightInd w:val="0"/>
              <w:jc w:val="both"/>
              <w:rPr>
                <w:rFonts w:cs="Arial"/>
                <w:szCs w:val="24"/>
              </w:rPr>
            </w:pPr>
            <w:r w:rsidRPr="0020410E">
              <w:rPr>
                <w:rFonts w:cs="Arial"/>
                <w:color w:val="000000"/>
                <w:szCs w:val="24"/>
              </w:rPr>
              <w:t>Less Capital receipts</w:t>
            </w:r>
          </w:p>
        </w:tc>
        <w:tc>
          <w:tcPr>
            <w:tcW w:w="2505" w:type="dxa"/>
            <w:vAlign w:val="center"/>
          </w:tcPr>
          <w:p w14:paraId="04F4F6AD" w14:textId="0915AA6E" w:rsidR="00AC2FA3" w:rsidRPr="0020410E" w:rsidRDefault="00AC2FA3" w:rsidP="00AC2FA3">
            <w:pPr>
              <w:autoSpaceDE w:val="0"/>
              <w:autoSpaceDN w:val="0"/>
              <w:adjustRightInd w:val="0"/>
              <w:jc w:val="center"/>
              <w:rPr>
                <w:rFonts w:cs="Arial"/>
                <w:szCs w:val="24"/>
              </w:rPr>
            </w:pPr>
            <w:r w:rsidRPr="0020410E">
              <w:rPr>
                <w:rFonts w:cs="Arial"/>
                <w:color w:val="000000"/>
                <w:szCs w:val="24"/>
              </w:rPr>
              <w:t>8.000</w:t>
            </w:r>
          </w:p>
        </w:tc>
      </w:tr>
      <w:tr w:rsidR="00AC2FA3" w:rsidRPr="00AC2FA3" w14:paraId="2C4BCFF9" w14:textId="77777777" w:rsidTr="007928FA">
        <w:trPr>
          <w:trHeight w:val="400"/>
          <w:jc w:val="center"/>
        </w:trPr>
        <w:tc>
          <w:tcPr>
            <w:tcW w:w="5681" w:type="dxa"/>
            <w:vAlign w:val="center"/>
          </w:tcPr>
          <w:p w14:paraId="6A441BC7" w14:textId="1713022F" w:rsidR="00AC2FA3" w:rsidRPr="0020410E" w:rsidRDefault="00AC2FA3" w:rsidP="00AC2FA3">
            <w:pPr>
              <w:autoSpaceDE w:val="0"/>
              <w:autoSpaceDN w:val="0"/>
              <w:adjustRightInd w:val="0"/>
              <w:jc w:val="both"/>
              <w:rPr>
                <w:rFonts w:cs="Arial"/>
                <w:szCs w:val="24"/>
              </w:rPr>
            </w:pPr>
            <w:r w:rsidRPr="0020410E">
              <w:rPr>
                <w:rFonts w:cs="Arial"/>
                <w:color w:val="000000"/>
                <w:szCs w:val="24"/>
              </w:rPr>
              <w:t>Less Social Care Grant</w:t>
            </w:r>
          </w:p>
        </w:tc>
        <w:tc>
          <w:tcPr>
            <w:tcW w:w="2505" w:type="dxa"/>
            <w:vAlign w:val="center"/>
          </w:tcPr>
          <w:p w14:paraId="51EA8060" w14:textId="42AE8AE8" w:rsidR="00AC2FA3" w:rsidRPr="0020410E" w:rsidRDefault="00AC2FA3" w:rsidP="00AC2FA3">
            <w:pPr>
              <w:autoSpaceDE w:val="0"/>
              <w:autoSpaceDN w:val="0"/>
              <w:adjustRightInd w:val="0"/>
              <w:jc w:val="center"/>
              <w:rPr>
                <w:rFonts w:cs="Arial"/>
                <w:szCs w:val="24"/>
              </w:rPr>
            </w:pPr>
            <w:r w:rsidRPr="0020410E">
              <w:rPr>
                <w:rFonts w:cs="Arial"/>
                <w:color w:val="000000"/>
                <w:szCs w:val="24"/>
              </w:rPr>
              <w:t>9.427</w:t>
            </w:r>
          </w:p>
        </w:tc>
      </w:tr>
      <w:tr w:rsidR="00AC2FA3" w:rsidRPr="00AC2FA3" w14:paraId="1B5E1C35" w14:textId="77777777" w:rsidTr="007928FA">
        <w:trPr>
          <w:trHeight w:val="400"/>
          <w:jc w:val="center"/>
        </w:trPr>
        <w:tc>
          <w:tcPr>
            <w:tcW w:w="5681" w:type="dxa"/>
            <w:vAlign w:val="center"/>
          </w:tcPr>
          <w:p w14:paraId="734AC223" w14:textId="06556EF7" w:rsidR="00AC2FA3" w:rsidRPr="0020410E" w:rsidRDefault="00AC2FA3" w:rsidP="00AC2FA3">
            <w:pPr>
              <w:autoSpaceDE w:val="0"/>
              <w:autoSpaceDN w:val="0"/>
              <w:adjustRightInd w:val="0"/>
              <w:jc w:val="both"/>
              <w:rPr>
                <w:rFonts w:cs="Arial"/>
                <w:szCs w:val="24"/>
              </w:rPr>
            </w:pPr>
            <w:r w:rsidRPr="0020410E">
              <w:rPr>
                <w:rFonts w:cs="Arial"/>
                <w:color w:val="000000"/>
                <w:szCs w:val="24"/>
              </w:rPr>
              <w:t>Less Collection Fund Surplus</w:t>
            </w:r>
          </w:p>
        </w:tc>
        <w:tc>
          <w:tcPr>
            <w:tcW w:w="2505" w:type="dxa"/>
            <w:vAlign w:val="center"/>
          </w:tcPr>
          <w:p w14:paraId="1606BBC4" w14:textId="1738EEE3" w:rsidR="00AC2FA3" w:rsidRPr="0020410E" w:rsidRDefault="0020410E" w:rsidP="00AC2FA3">
            <w:pPr>
              <w:autoSpaceDE w:val="0"/>
              <w:autoSpaceDN w:val="0"/>
              <w:adjustRightInd w:val="0"/>
              <w:jc w:val="center"/>
              <w:rPr>
                <w:rFonts w:cs="Arial"/>
                <w:szCs w:val="24"/>
              </w:rPr>
            </w:pPr>
            <w:r w:rsidRPr="0020410E">
              <w:rPr>
                <w:rFonts w:cs="Arial"/>
                <w:color w:val="000000"/>
                <w:szCs w:val="24"/>
              </w:rPr>
              <w:t>5.436</w:t>
            </w:r>
          </w:p>
        </w:tc>
      </w:tr>
      <w:tr w:rsidR="00AC2FA3" w:rsidRPr="00AC2FA3" w14:paraId="62112B15" w14:textId="77777777" w:rsidTr="007928FA">
        <w:trPr>
          <w:trHeight w:val="400"/>
          <w:jc w:val="center"/>
        </w:trPr>
        <w:tc>
          <w:tcPr>
            <w:tcW w:w="5681" w:type="dxa"/>
            <w:vAlign w:val="center"/>
          </w:tcPr>
          <w:p w14:paraId="608AD30E" w14:textId="77777777" w:rsidR="00AC2FA3" w:rsidRPr="0020410E" w:rsidRDefault="00AC2FA3" w:rsidP="00AC2FA3">
            <w:pPr>
              <w:autoSpaceDE w:val="0"/>
              <w:autoSpaceDN w:val="0"/>
              <w:adjustRightInd w:val="0"/>
              <w:spacing w:line="276" w:lineRule="auto"/>
              <w:jc w:val="both"/>
              <w:rPr>
                <w:rFonts w:cs="Arial"/>
                <w:b/>
                <w:szCs w:val="24"/>
              </w:rPr>
            </w:pPr>
            <w:r w:rsidRPr="0020410E">
              <w:rPr>
                <w:rFonts w:cs="Arial"/>
                <w:b/>
                <w:szCs w:val="24"/>
              </w:rPr>
              <w:t>Equals council tax cash</w:t>
            </w:r>
          </w:p>
        </w:tc>
        <w:tc>
          <w:tcPr>
            <w:tcW w:w="2505" w:type="dxa"/>
            <w:vAlign w:val="center"/>
          </w:tcPr>
          <w:p w14:paraId="48CFAC48" w14:textId="05700487" w:rsidR="00AC2FA3" w:rsidRPr="0020410E" w:rsidRDefault="0020410E" w:rsidP="00AC2FA3">
            <w:pPr>
              <w:autoSpaceDE w:val="0"/>
              <w:autoSpaceDN w:val="0"/>
              <w:adjustRightInd w:val="0"/>
              <w:spacing w:line="276" w:lineRule="auto"/>
              <w:jc w:val="center"/>
              <w:rPr>
                <w:rFonts w:cs="Arial"/>
                <w:b/>
                <w:szCs w:val="24"/>
              </w:rPr>
            </w:pPr>
            <w:r w:rsidRPr="0020410E">
              <w:rPr>
                <w:rFonts w:cs="Arial"/>
                <w:b/>
                <w:szCs w:val="24"/>
              </w:rPr>
              <w:t>493.898</w:t>
            </w:r>
          </w:p>
        </w:tc>
      </w:tr>
      <w:tr w:rsidR="00AC2FA3" w:rsidRPr="00AC2FA3" w14:paraId="5CCD7197" w14:textId="77777777" w:rsidTr="007928FA">
        <w:trPr>
          <w:trHeight w:val="400"/>
          <w:jc w:val="center"/>
        </w:trPr>
        <w:tc>
          <w:tcPr>
            <w:tcW w:w="5681" w:type="dxa"/>
            <w:shd w:val="clear" w:color="auto" w:fill="BFBFBF" w:themeFill="background1" w:themeFillShade="BF"/>
            <w:vAlign w:val="center"/>
          </w:tcPr>
          <w:p w14:paraId="47AEB82B" w14:textId="77777777" w:rsidR="00AC2FA3" w:rsidRPr="00AC2FA3" w:rsidRDefault="00AC2FA3" w:rsidP="00AC2FA3">
            <w:pPr>
              <w:autoSpaceDE w:val="0"/>
              <w:autoSpaceDN w:val="0"/>
              <w:adjustRightInd w:val="0"/>
              <w:jc w:val="both"/>
              <w:rPr>
                <w:rFonts w:cs="Arial"/>
                <w:szCs w:val="24"/>
              </w:rPr>
            </w:pPr>
          </w:p>
        </w:tc>
        <w:tc>
          <w:tcPr>
            <w:tcW w:w="2505" w:type="dxa"/>
            <w:shd w:val="clear" w:color="auto" w:fill="BFBFBF" w:themeFill="background1" w:themeFillShade="BF"/>
            <w:vAlign w:val="center"/>
          </w:tcPr>
          <w:p w14:paraId="14DC26E9" w14:textId="77777777" w:rsidR="00AC2FA3" w:rsidRPr="00AC2FA3" w:rsidRDefault="00AC2FA3" w:rsidP="00AC2FA3">
            <w:pPr>
              <w:autoSpaceDE w:val="0"/>
              <w:autoSpaceDN w:val="0"/>
              <w:adjustRightInd w:val="0"/>
              <w:jc w:val="center"/>
              <w:rPr>
                <w:rFonts w:cs="Arial"/>
                <w:szCs w:val="24"/>
              </w:rPr>
            </w:pPr>
          </w:p>
        </w:tc>
      </w:tr>
      <w:tr w:rsidR="00AC2FA3" w:rsidRPr="00AC2FA3" w14:paraId="24F86F02" w14:textId="77777777" w:rsidTr="007928FA">
        <w:trPr>
          <w:trHeight w:val="400"/>
          <w:jc w:val="center"/>
        </w:trPr>
        <w:tc>
          <w:tcPr>
            <w:tcW w:w="5681" w:type="dxa"/>
            <w:vAlign w:val="center"/>
          </w:tcPr>
          <w:p w14:paraId="508B897E" w14:textId="77777777" w:rsidR="00AC2FA3" w:rsidRPr="00AC2FA3" w:rsidRDefault="00AC2FA3" w:rsidP="00AC2FA3">
            <w:pPr>
              <w:autoSpaceDE w:val="0"/>
              <w:autoSpaceDN w:val="0"/>
              <w:adjustRightInd w:val="0"/>
              <w:spacing w:line="276" w:lineRule="auto"/>
              <w:jc w:val="both"/>
              <w:rPr>
                <w:rFonts w:cs="Arial"/>
                <w:szCs w:val="24"/>
              </w:rPr>
            </w:pPr>
            <w:r w:rsidRPr="00AC2FA3">
              <w:rPr>
                <w:rFonts w:cs="Arial"/>
                <w:szCs w:val="24"/>
              </w:rPr>
              <w:t>Divided by tax base</w:t>
            </w:r>
          </w:p>
        </w:tc>
        <w:tc>
          <w:tcPr>
            <w:tcW w:w="2505" w:type="dxa"/>
            <w:vAlign w:val="center"/>
          </w:tcPr>
          <w:p w14:paraId="1426863C" w14:textId="4A08D383" w:rsidR="00AC2FA3" w:rsidRPr="00AC2FA3" w:rsidRDefault="00591153" w:rsidP="00AC2FA3">
            <w:pPr>
              <w:autoSpaceDE w:val="0"/>
              <w:autoSpaceDN w:val="0"/>
              <w:adjustRightInd w:val="0"/>
              <w:spacing w:line="276" w:lineRule="auto"/>
              <w:jc w:val="center"/>
              <w:rPr>
                <w:rFonts w:cs="Arial"/>
                <w:szCs w:val="24"/>
              </w:rPr>
            </w:pPr>
            <w:r>
              <w:rPr>
                <w:rFonts w:cs="Arial"/>
                <w:szCs w:val="24"/>
              </w:rPr>
              <w:t>366,777.14</w:t>
            </w:r>
          </w:p>
        </w:tc>
      </w:tr>
      <w:tr w:rsidR="00AC2FA3" w:rsidRPr="00AC2FA3" w14:paraId="1CC1928D" w14:textId="77777777" w:rsidTr="007928FA">
        <w:trPr>
          <w:trHeight w:val="400"/>
          <w:jc w:val="center"/>
        </w:trPr>
        <w:tc>
          <w:tcPr>
            <w:tcW w:w="5681" w:type="dxa"/>
            <w:vAlign w:val="center"/>
          </w:tcPr>
          <w:p w14:paraId="69C776F1" w14:textId="4904BB74" w:rsidR="00AC2FA3" w:rsidRPr="00AC2FA3" w:rsidRDefault="00AC2FA3" w:rsidP="00591153">
            <w:pPr>
              <w:autoSpaceDE w:val="0"/>
              <w:autoSpaceDN w:val="0"/>
              <w:adjustRightInd w:val="0"/>
              <w:spacing w:line="276" w:lineRule="auto"/>
              <w:jc w:val="both"/>
              <w:rPr>
                <w:rFonts w:cs="Arial"/>
                <w:szCs w:val="24"/>
              </w:rPr>
            </w:pPr>
            <w:r w:rsidRPr="00AC2FA3">
              <w:rPr>
                <w:rFonts w:cs="Arial"/>
                <w:szCs w:val="24"/>
              </w:rPr>
              <w:t>Gives Band D council tax for 201</w:t>
            </w:r>
            <w:r w:rsidR="00591153">
              <w:rPr>
                <w:rFonts w:cs="Arial"/>
                <w:szCs w:val="24"/>
              </w:rPr>
              <w:t>9/20</w:t>
            </w:r>
          </w:p>
        </w:tc>
        <w:tc>
          <w:tcPr>
            <w:tcW w:w="2505" w:type="dxa"/>
            <w:vAlign w:val="center"/>
          </w:tcPr>
          <w:p w14:paraId="242AE5E0" w14:textId="1ABC6487" w:rsidR="00AC2FA3" w:rsidRPr="00AC2FA3" w:rsidRDefault="00591153" w:rsidP="00AC2FA3">
            <w:pPr>
              <w:autoSpaceDE w:val="0"/>
              <w:autoSpaceDN w:val="0"/>
              <w:adjustRightInd w:val="0"/>
              <w:spacing w:line="276" w:lineRule="auto"/>
              <w:jc w:val="center"/>
              <w:rPr>
                <w:rFonts w:cs="Arial"/>
                <w:szCs w:val="24"/>
              </w:rPr>
            </w:pPr>
            <w:r>
              <w:rPr>
                <w:rFonts w:cs="Arial"/>
                <w:szCs w:val="24"/>
              </w:rPr>
              <w:t>1,346.59</w:t>
            </w:r>
          </w:p>
        </w:tc>
      </w:tr>
      <w:tr w:rsidR="00AC2FA3" w:rsidRPr="00AC2FA3" w14:paraId="53E0D684" w14:textId="77777777" w:rsidTr="007928FA">
        <w:trPr>
          <w:trHeight w:val="400"/>
          <w:jc w:val="center"/>
        </w:trPr>
        <w:tc>
          <w:tcPr>
            <w:tcW w:w="5681" w:type="dxa"/>
            <w:vAlign w:val="center"/>
          </w:tcPr>
          <w:p w14:paraId="491FEC56" w14:textId="209BF96C" w:rsidR="00AC2FA3" w:rsidRPr="00AC2FA3" w:rsidRDefault="00591153" w:rsidP="00AC2FA3">
            <w:pPr>
              <w:autoSpaceDE w:val="0"/>
              <w:autoSpaceDN w:val="0"/>
              <w:adjustRightInd w:val="0"/>
              <w:spacing w:line="276" w:lineRule="auto"/>
              <w:jc w:val="both"/>
              <w:rPr>
                <w:rFonts w:cs="Arial"/>
                <w:szCs w:val="24"/>
              </w:rPr>
            </w:pPr>
            <w:r>
              <w:rPr>
                <w:rFonts w:cs="Arial"/>
                <w:szCs w:val="24"/>
              </w:rPr>
              <w:t>2018/19</w:t>
            </w:r>
            <w:r w:rsidR="00AC2FA3" w:rsidRPr="00AC2FA3">
              <w:rPr>
                <w:rFonts w:cs="Arial"/>
                <w:szCs w:val="24"/>
              </w:rPr>
              <w:t xml:space="preserve"> council tax</w:t>
            </w:r>
          </w:p>
        </w:tc>
        <w:tc>
          <w:tcPr>
            <w:tcW w:w="2505" w:type="dxa"/>
            <w:vAlign w:val="center"/>
          </w:tcPr>
          <w:p w14:paraId="68BA7329" w14:textId="48693CAD" w:rsidR="00AC2FA3" w:rsidRPr="00AC2FA3" w:rsidRDefault="00591153" w:rsidP="00AC2FA3">
            <w:pPr>
              <w:autoSpaceDE w:val="0"/>
              <w:autoSpaceDN w:val="0"/>
              <w:adjustRightInd w:val="0"/>
              <w:spacing w:line="276" w:lineRule="auto"/>
              <w:jc w:val="center"/>
              <w:rPr>
                <w:rFonts w:cs="Arial"/>
                <w:szCs w:val="24"/>
              </w:rPr>
            </w:pPr>
            <w:r>
              <w:rPr>
                <w:rFonts w:cs="Arial"/>
                <w:szCs w:val="24"/>
              </w:rPr>
              <w:t>1,294.92</w:t>
            </w:r>
          </w:p>
        </w:tc>
      </w:tr>
      <w:tr w:rsidR="00AC2FA3" w:rsidRPr="00AC2FA3" w14:paraId="40C625C4" w14:textId="77777777" w:rsidTr="007928FA">
        <w:trPr>
          <w:trHeight w:val="400"/>
          <w:jc w:val="center"/>
        </w:trPr>
        <w:tc>
          <w:tcPr>
            <w:tcW w:w="5681" w:type="dxa"/>
            <w:vAlign w:val="center"/>
          </w:tcPr>
          <w:p w14:paraId="739271FF" w14:textId="77777777" w:rsidR="00AC2FA3" w:rsidRPr="00AC2FA3" w:rsidRDefault="00AC2FA3" w:rsidP="00AC2FA3">
            <w:pPr>
              <w:autoSpaceDE w:val="0"/>
              <w:autoSpaceDN w:val="0"/>
              <w:adjustRightInd w:val="0"/>
              <w:spacing w:line="276" w:lineRule="auto"/>
              <w:jc w:val="both"/>
              <w:rPr>
                <w:rFonts w:cs="Arial"/>
                <w:b/>
                <w:szCs w:val="24"/>
              </w:rPr>
            </w:pPr>
            <w:r w:rsidRPr="00AC2FA3">
              <w:rPr>
                <w:rFonts w:cs="Arial"/>
                <w:b/>
                <w:szCs w:val="24"/>
              </w:rPr>
              <w:t>Percentage increase</w:t>
            </w:r>
          </w:p>
        </w:tc>
        <w:tc>
          <w:tcPr>
            <w:tcW w:w="2505" w:type="dxa"/>
            <w:vAlign w:val="center"/>
          </w:tcPr>
          <w:p w14:paraId="542C40FE" w14:textId="72D2EFE6" w:rsidR="00AC2FA3" w:rsidRPr="00AC2FA3" w:rsidRDefault="00AC2FA3" w:rsidP="00AC2FA3">
            <w:pPr>
              <w:autoSpaceDE w:val="0"/>
              <w:autoSpaceDN w:val="0"/>
              <w:adjustRightInd w:val="0"/>
              <w:spacing w:line="276" w:lineRule="auto"/>
              <w:jc w:val="center"/>
              <w:rPr>
                <w:rFonts w:cs="Arial"/>
                <w:b/>
                <w:szCs w:val="24"/>
              </w:rPr>
            </w:pPr>
            <w:r>
              <w:rPr>
                <w:rFonts w:cs="Arial"/>
                <w:b/>
                <w:szCs w:val="24"/>
              </w:rPr>
              <w:t>3</w:t>
            </w:r>
            <w:r w:rsidRPr="00AC2FA3">
              <w:rPr>
                <w:rFonts w:cs="Arial"/>
                <w:b/>
                <w:szCs w:val="24"/>
              </w:rPr>
              <w:t>.99%</w:t>
            </w:r>
          </w:p>
        </w:tc>
      </w:tr>
    </w:tbl>
    <w:p w14:paraId="7C4C14DA" w14:textId="77777777" w:rsidR="00F75D23" w:rsidRDefault="00F75D23" w:rsidP="004321DB">
      <w:pPr>
        <w:spacing w:after="0"/>
        <w:jc w:val="both"/>
        <w:rPr>
          <w:rFonts w:cs="Arial"/>
          <w:b/>
          <w:bCs/>
          <w:szCs w:val="24"/>
          <w:highlight w:val="yellow"/>
        </w:rPr>
      </w:pPr>
    </w:p>
    <w:p w14:paraId="47D85A5A" w14:textId="3DB9E635" w:rsidR="00343217" w:rsidRDefault="00F7294A" w:rsidP="004321DB">
      <w:pPr>
        <w:spacing w:after="0"/>
        <w:jc w:val="both"/>
        <w:rPr>
          <w:rFonts w:cs="Arial"/>
          <w:b/>
          <w:bCs/>
          <w:szCs w:val="24"/>
        </w:rPr>
      </w:pPr>
      <w:r>
        <w:rPr>
          <w:rFonts w:cs="Arial"/>
          <w:b/>
          <w:bCs/>
          <w:szCs w:val="24"/>
        </w:rPr>
        <w:t>8</w:t>
      </w:r>
      <w:r w:rsidR="004321DB" w:rsidRPr="00AC2FA3">
        <w:rPr>
          <w:rFonts w:cs="Arial"/>
          <w:b/>
          <w:bCs/>
          <w:szCs w:val="24"/>
        </w:rPr>
        <w:t xml:space="preserve">. </w:t>
      </w:r>
      <w:r w:rsidR="00343217" w:rsidRPr="00AC2FA3">
        <w:rPr>
          <w:rFonts w:cs="Arial"/>
          <w:b/>
          <w:bCs/>
          <w:szCs w:val="24"/>
        </w:rPr>
        <w:t>The Robustness of the Budget and the Adequacy of Reserves</w:t>
      </w:r>
    </w:p>
    <w:p w14:paraId="0E62ACF7" w14:textId="77777777" w:rsidR="00AC2FA3" w:rsidRPr="00AC2FA3" w:rsidRDefault="00AC2FA3" w:rsidP="00AC2FA3">
      <w:pPr>
        <w:autoSpaceDE w:val="0"/>
        <w:autoSpaceDN w:val="0"/>
        <w:adjustRightInd w:val="0"/>
        <w:spacing w:after="0" w:line="240" w:lineRule="auto"/>
        <w:rPr>
          <w:rFonts w:cs="Arial"/>
          <w:szCs w:val="24"/>
          <w:lang w:eastAsia="en-GB"/>
        </w:rPr>
      </w:pPr>
    </w:p>
    <w:p w14:paraId="7A9238D3"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14:paraId="569AE03A" w14:textId="77777777" w:rsidR="00AC2FA3" w:rsidRPr="00AC2FA3" w:rsidRDefault="00AC2FA3" w:rsidP="00AC2FA3">
      <w:pPr>
        <w:autoSpaceDE w:val="0"/>
        <w:autoSpaceDN w:val="0"/>
        <w:adjustRightInd w:val="0"/>
        <w:spacing w:after="0" w:line="240" w:lineRule="auto"/>
        <w:rPr>
          <w:rFonts w:cs="Arial"/>
          <w:i/>
          <w:szCs w:val="24"/>
          <w:lang w:eastAsia="en-GB"/>
        </w:rPr>
      </w:pPr>
    </w:p>
    <w:p w14:paraId="0E98E85D" w14:textId="77777777" w:rsidR="00AC2FA3" w:rsidRPr="00AC2FA3" w:rsidRDefault="00AC2FA3" w:rsidP="00AC2FA3">
      <w:pPr>
        <w:autoSpaceDE w:val="0"/>
        <w:autoSpaceDN w:val="0"/>
        <w:adjustRightInd w:val="0"/>
        <w:spacing w:after="0" w:line="240" w:lineRule="auto"/>
        <w:rPr>
          <w:rFonts w:cs="Arial"/>
          <w:b/>
          <w:szCs w:val="24"/>
          <w:lang w:eastAsia="en-GB"/>
        </w:rPr>
      </w:pPr>
      <w:r w:rsidRPr="00AC2FA3">
        <w:rPr>
          <w:rFonts w:cs="Arial"/>
          <w:b/>
          <w:szCs w:val="24"/>
          <w:lang w:eastAsia="en-GB"/>
        </w:rPr>
        <w:t>Robustness of the Estimates</w:t>
      </w:r>
    </w:p>
    <w:p w14:paraId="1B1702B7" w14:textId="77777777" w:rsidR="00AC2FA3" w:rsidRPr="00AC2FA3" w:rsidRDefault="00AC2FA3" w:rsidP="00AC2FA3">
      <w:pPr>
        <w:autoSpaceDE w:val="0"/>
        <w:autoSpaceDN w:val="0"/>
        <w:adjustRightInd w:val="0"/>
        <w:spacing w:after="0" w:line="240" w:lineRule="auto"/>
        <w:rPr>
          <w:rFonts w:cs="Arial"/>
          <w:szCs w:val="24"/>
          <w:lang w:eastAsia="en-GB"/>
        </w:rPr>
      </w:pPr>
    </w:p>
    <w:p w14:paraId="5CCFF288"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30983342"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59F33B60"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The table below demonstrates the scale of just a small variance in the assumptions made, showing the potential impact of both a positive and negative movement of 1% across the main areas within the MTFS and the potential impact of a further 0.25% variation on interest rates:</w:t>
      </w:r>
    </w:p>
    <w:p w14:paraId="6339A7E4" w14:textId="77777777" w:rsidR="00AC2FA3" w:rsidRPr="00AC2FA3" w:rsidRDefault="00AC2FA3" w:rsidP="00AC2FA3">
      <w:pPr>
        <w:autoSpaceDE w:val="0"/>
        <w:autoSpaceDN w:val="0"/>
        <w:adjustRightInd w:val="0"/>
        <w:spacing w:after="0" w:line="240" w:lineRule="auto"/>
        <w:jc w:val="both"/>
        <w:rPr>
          <w:rFonts w:cs="Arial"/>
          <w:szCs w:val="24"/>
          <w:lang w:eastAsia="en-GB"/>
        </w:rPr>
      </w:pPr>
    </w:p>
    <w:tbl>
      <w:tblPr>
        <w:tblStyle w:val="TableGrid21"/>
        <w:tblW w:w="0" w:type="auto"/>
        <w:tblLook w:val="04A0" w:firstRow="1" w:lastRow="0" w:firstColumn="1" w:lastColumn="0" w:noHBand="0" w:noVBand="1"/>
      </w:tblPr>
      <w:tblGrid>
        <w:gridCol w:w="5948"/>
        <w:gridCol w:w="3068"/>
      </w:tblGrid>
      <w:tr w:rsidR="00AC2FA3" w:rsidRPr="00AC2FA3" w14:paraId="481593D5" w14:textId="77777777" w:rsidTr="00E538C0">
        <w:tc>
          <w:tcPr>
            <w:tcW w:w="5949" w:type="dxa"/>
          </w:tcPr>
          <w:p w14:paraId="35EAC3C0" w14:textId="77777777" w:rsidR="00AC2FA3" w:rsidRPr="00AC2FA3" w:rsidRDefault="00AC2FA3" w:rsidP="00AC2FA3">
            <w:pPr>
              <w:autoSpaceDE w:val="0"/>
              <w:autoSpaceDN w:val="0"/>
              <w:adjustRightInd w:val="0"/>
              <w:jc w:val="both"/>
              <w:rPr>
                <w:rFonts w:cs="Arial"/>
                <w:b/>
                <w:szCs w:val="24"/>
              </w:rPr>
            </w:pPr>
          </w:p>
        </w:tc>
        <w:tc>
          <w:tcPr>
            <w:tcW w:w="3068" w:type="dxa"/>
          </w:tcPr>
          <w:p w14:paraId="0A646223" w14:textId="77777777" w:rsidR="00AC2FA3" w:rsidRPr="00AC2FA3" w:rsidRDefault="00AC2FA3" w:rsidP="00AC2FA3">
            <w:pPr>
              <w:autoSpaceDE w:val="0"/>
              <w:autoSpaceDN w:val="0"/>
              <w:adjustRightInd w:val="0"/>
              <w:jc w:val="center"/>
              <w:rPr>
                <w:rFonts w:cs="Arial"/>
                <w:szCs w:val="24"/>
              </w:rPr>
            </w:pPr>
            <w:r w:rsidRPr="00AC2FA3">
              <w:rPr>
                <w:rFonts w:cs="Arial"/>
                <w:szCs w:val="24"/>
              </w:rPr>
              <w:t>Potential Full-Year Impact (£m)</w:t>
            </w:r>
          </w:p>
        </w:tc>
      </w:tr>
      <w:tr w:rsidR="00AC2FA3" w:rsidRPr="00AC2FA3" w14:paraId="3CEA3551" w14:textId="77777777" w:rsidTr="00E538C0">
        <w:tc>
          <w:tcPr>
            <w:tcW w:w="5949" w:type="dxa"/>
          </w:tcPr>
          <w:p w14:paraId="7ED53847" w14:textId="77777777" w:rsidR="00AC2FA3" w:rsidRPr="00AC2FA3" w:rsidRDefault="00AC2FA3" w:rsidP="00AC2FA3">
            <w:pPr>
              <w:autoSpaceDE w:val="0"/>
              <w:autoSpaceDN w:val="0"/>
              <w:adjustRightInd w:val="0"/>
              <w:jc w:val="both"/>
              <w:rPr>
                <w:rFonts w:cs="Arial"/>
                <w:szCs w:val="24"/>
              </w:rPr>
            </w:pPr>
            <w:r w:rsidRPr="00AC2FA3">
              <w:rPr>
                <w:rFonts w:cs="Arial"/>
                <w:szCs w:val="24"/>
              </w:rPr>
              <w:t>Funding (1%)</w:t>
            </w:r>
          </w:p>
        </w:tc>
        <w:tc>
          <w:tcPr>
            <w:tcW w:w="3068" w:type="dxa"/>
          </w:tcPr>
          <w:p w14:paraId="54DCFD31" w14:textId="77777777" w:rsidR="00AC2FA3" w:rsidRPr="00AC2FA3" w:rsidRDefault="00AC2FA3" w:rsidP="00AC2FA3">
            <w:pPr>
              <w:autoSpaceDE w:val="0"/>
              <w:autoSpaceDN w:val="0"/>
              <w:adjustRightInd w:val="0"/>
              <w:jc w:val="right"/>
              <w:rPr>
                <w:rFonts w:cs="Arial"/>
                <w:szCs w:val="24"/>
                <w:highlight w:val="yellow"/>
              </w:rPr>
            </w:pPr>
            <w:r w:rsidRPr="00AC2FA3">
              <w:rPr>
                <w:rFonts w:cs="Arial"/>
                <w:szCs w:val="24"/>
              </w:rPr>
              <w:t xml:space="preserve"> +/- 4.955</w:t>
            </w:r>
          </w:p>
        </w:tc>
      </w:tr>
      <w:tr w:rsidR="00AC2FA3" w:rsidRPr="00AC2FA3" w14:paraId="26DB68FE" w14:textId="77777777" w:rsidTr="00E538C0">
        <w:tc>
          <w:tcPr>
            <w:tcW w:w="5949" w:type="dxa"/>
          </w:tcPr>
          <w:p w14:paraId="000C2937" w14:textId="77777777" w:rsidR="00AC2FA3" w:rsidRPr="00AC2FA3" w:rsidRDefault="00AC2FA3" w:rsidP="00AC2FA3">
            <w:pPr>
              <w:autoSpaceDE w:val="0"/>
              <w:autoSpaceDN w:val="0"/>
              <w:adjustRightInd w:val="0"/>
              <w:jc w:val="both"/>
              <w:rPr>
                <w:rFonts w:cs="Arial"/>
                <w:szCs w:val="24"/>
              </w:rPr>
            </w:pPr>
            <w:r w:rsidRPr="00AC2FA3">
              <w:rPr>
                <w:rFonts w:cs="Arial"/>
                <w:szCs w:val="24"/>
              </w:rPr>
              <w:t>Pay (1%)</w:t>
            </w:r>
          </w:p>
        </w:tc>
        <w:tc>
          <w:tcPr>
            <w:tcW w:w="3068" w:type="dxa"/>
          </w:tcPr>
          <w:p w14:paraId="6D95CCB7" w14:textId="77777777" w:rsidR="00AC2FA3" w:rsidRPr="00AC2FA3" w:rsidRDefault="00AC2FA3" w:rsidP="00AC2FA3">
            <w:pPr>
              <w:autoSpaceDE w:val="0"/>
              <w:autoSpaceDN w:val="0"/>
              <w:adjustRightInd w:val="0"/>
              <w:jc w:val="right"/>
              <w:rPr>
                <w:rFonts w:cs="Arial"/>
                <w:szCs w:val="24"/>
                <w:highlight w:val="yellow"/>
              </w:rPr>
            </w:pPr>
            <w:r w:rsidRPr="00AC2FA3">
              <w:rPr>
                <w:rFonts w:cs="Arial"/>
                <w:szCs w:val="24"/>
              </w:rPr>
              <w:t>+/- 2.551</w:t>
            </w:r>
          </w:p>
        </w:tc>
      </w:tr>
      <w:tr w:rsidR="00AC2FA3" w:rsidRPr="00AC2FA3" w14:paraId="47003521" w14:textId="77777777" w:rsidTr="00E538C0">
        <w:tc>
          <w:tcPr>
            <w:tcW w:w="5949" w:type="dxa"/>
          </w:tcPr>
          <w:p w14:paraId="4A5797BD" w14:textId="77777777" w:rsidR="00AC2FA3" w:rsidRPr="00AC2FA3" w:rsidRDefault="00AC2FA3" w:rsidP="00AC2FA3">
            <w:pPr>
              <w:autoSpaceDE w:val="0"/>
              <w:autoSpaceDN w:val="0"/>
              <w:adjustRightInd w:val="0"/>
              <w:jc w:val="both"/>
              <w:rPr>
                <w:rFonts w:cs="Arial"/>
                <w:szCs w:val="24"/>
              </w:rPr>
            </w:pPr>
            <w:r w:rsidRPr="00AC2FA3">
              <w:rPr>
                <w:rFonts w:cs="Arial"/>
                <w:szCs w:val="24"/>
              </w:rPr>
              <w:t>Price Inflation (1%)</w:t>
            </w:r>
          </w:p>
        </w:tc>
        <w:tc>
          <w:tcPr>
            <w:tcW w:w="3068" w:type="dxa"/>
          </w:tcPr>
          <w:p w14:paraId="1D6501BB" w14:textId="77777777" w:rsidR="00AC2FA3" w:rsidRPr="00AC2FA3" w:rsidRDefault="00AC2FA3" w:rsidP="00AC2FA3">
            <w:pPr>
              <w:autoSpaceDE w:val="0"/>
              <w:autoSpaceDN w:val="0"/>
              <w:adjustRightInd w:val="0"/>
              <w:jc w:val="right"/>
              <w:rPr>
                <w:rFonts w:cs="Arial"/>
                <w:szCs w:val="24"/>
                <w:highlight w:val="yellow"/>
              </w:rPr>
            </w:pPr>
            <w:r w:rsidRPr="00AC2FA3">
              <w:rPr>
                <w:rFonts w:cs="Arial"/>
                <w:szCs w:val="24"/>
              </w:rPr>
              <w:t>+/- 5.574</w:t>
            </w:r>
          </w:p>
        </w:tc>
      </w:tr>
      <w:tr w:rsidR="00AC2FA3" w:rsidRPr="00AC2FA3" w14:paraId="777326DB" w14:textId="77777777" w:rsidTr="00E538C0">
        <w:tc>
          <w:tcPr>
            <w:tcW w:w="5949" w:type="dxa"/>
          </w:tcPr>
          <w:p w14:paraId="6E0316CA" w14:textId="77777777" w:rsidR="00AC2FA3" w:rsidRPr="00AC2FA3" w:rsidRDefault="00AC2FA3" w:rsidP="00AC2FA3">
            <w:pPr>
              <w:autoSpaceDE w:val="0"/>
              <w:autoSpaceDN w:val="0"/>
              <w:adjustRightInd w:val="0"/>
              <w:jc w:val="both"/>
              <w:rPr>
                <w:rFonts w:cs="Arial"/>
                <w:szCs w:val="24"/>
              </w:rPr>
            </w:pPr>
            <w:r w:rsidRPr="00AC2FA3">
              <w:rPr>
                <w:rFonts w:cs="Arial"/>
                <w:szCs w:val="24"/>
              </w:rPr>
              <w:t>Demand (1%)</w:t>
            </w:r>
          </w:p>
        </w:tc>
        <w:tc>
          <w:tcPr>
            <w:tcW w:w="3068" w:type="dxa"/>
          </w:tcPr>
          <w:p w14:paraId="078E417E" w14:textId="77777777" w:rsidR="00AC2FA3" w:rsidRPr="00AC2FA3" w:rsidRDefault="00AC2FA3" w:rsidP="00AC2FA3">
            <w:pPr>
              <w:autoSpaceDE w:val="0"/>
              <w:autoSpaceDN w:val="0"/>
              <w:adjustRightInd w:val="0"/>
              <w:jc w:val="right"/>
              <w:rPr>
                <w:rFonts w:cs="Arial"/>
                <w:szCs w:val="24"/>
                <w:highlight w:val="yellow"/>
              </w:rPr>
            </w:pPr>
            <w:r w:rsidRPr="00AC2FA3">
              <w:rPr>
                <w:rFonts w:cs="Arial"/>
                <w:szCs w:val="24"/>
              </w:rPr>
              <w:t>+/- 5.969</w:t>
            </w:r>
          </w:p>
        </w:tc>
      </w:tr>
      <w:tr w:rsidR="00AC2FA3" w:rsidRPr="00AC2FA3" w14:paraId="202557C6" w14:textId="77777777" w:rsidTr="00E538C0">
        <w:tc>
          <w:tcPr>
            <w:tcW w:w="5949" w:type="dxa"/>
          </w:tcPr>
          <w:p w14:paraId="17A6A695" w14:textId="77777777" w:rsidR="00AC2FA3" w:rsidRPr="00AC2FA3" w:rsidRDefault="00AC2FA3" w:rsidP="00AC2FA3">
            <w:pPr>
              <w:autoSpaceDE w:val="0"/>
              <w:autoSpaceDN w:val="0"/>
              <w:adjustRightInd w:val="0"/>
              <w:jc w:val="both"/>
              <w:rPr>
                <w:rFonts w:cs="Arial"/>
                <w:szCs w:val="24"/>
              </w:rPr>
            </w:pPr>
            <w:r w:rsidRPr="00AC2FA3">
              <w:rPr>
                <w:rFonts w:cs="Arial"/>
                <w:szCs w:val="24"/>
              </w:rPr>
              <w:t>Interest Rates (0.25%)</w:t>
            </w:r>
          </w:p>
        </w:tc>
        <w:tc>
          <w:tcPr>
            <w:tcW w:w="3068" w:type="dxa"/>
          </w:tcPr>
          <w:p w14:paraId="6F5161E4" w14:textId="77777777" w:rsidR="00AC2FA3" w:rsidRPr="00AC2FA3" w:rsidRDefault="00AC2FA3" w:rsidP="00AC2FA3">
            <w:pPr>
              <w:autoSpaceDE w:val="0"/>
              <w:autoSpaceDN w:val="0"/>
              <w:adjustRightInd w:val="0"/>
              <w:jc w:val="right"/>
              <w:rPr>
                <w:rFonts w:cs="Arial"/>
                <w:szCs w:val="24"/>
                <w:highlight w:val="yellow"/>
              </w:rPr>
            </w:pPr>
            <w:r w:rsidRPr="00AC2FA3">
              <w:rPr>
                <w:rFonts w:cs="Arial"/>
                <w:szCs w:val="24"/>
              </w:rPr>
              <w:t>+/- 1.250</w:t>
            </w:r>
          </w:p>
        </w:tc>
      </w:tr>
    </w:tbl>
    <w:p w14:paraId="53A508CA"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7D4F209E"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A number of specific risks remain within the budget as follows:</w:t>
      </w:r>
    </w:p>
    <w:p w14:paraId="5FA35B89" w14:textId="77777777" w:rsidR="00AC2FA3" w:rsidRPr="00AC2FA3" w:rsidRDefault="00AC2FA3" w:rsidP="00AC2FA3">
      <w:pPr>
        <w:autoSpaceDE w:val="0"/>
        <w:autoSpaceDN w:val="0"/>
        <w:adjustRightInd w:val="0"/>
        <w:spacing w:after="0" w:line="240" w:lineRule="auto"/>
        <w:rPr>
          <w:rFonts w:cs="Arial"/>
          <w:i/>
          <w:szCs w:val="24"/>
          <w:lang w:eastAsia="en-GB"/>
        </w:rPr>
      </w:pPr>
    </w:p>
    <w:p w14:paraId="18FB86A4" w14:textId="77777777" w:rsidR="00AC2FA3" w:rsidRPr="00AC2FA3" w:rsidRDefault="00AC2FA3" w:rsidP="00AC2FA3">
      <w:pPr>
        <w:numPr>
          <w:ilvl w:val="0"/>
          <w:numId w:val="16"/>
        </w:numPr>
        <w:autoSpaceDE w:val="0"/>
        <w:autoSpaceDN w:val="0"/>
        <w:adjustRightInd w:val="0"/>
        <w:spacing w:after="0" w:line="240" w:lineRule="auto"/>
        <w:ind w:left="142" w:hanging="142"/>
        <w:outlineLvl w:val="0"/>
        <w:rPr>
          <w:rFonts w:cs="Arial"/>
          <w:b/>
          <w:szCs w:val="24"/>
          <w:lang w:eastAsia="en-GB"/>
        </w:rPr>
      </w:pPr>
      <w:r w:rsidRPr="00AC2FA3">
        <w:rPr>
          <w:rFonts w:cs="Arial"/>
          <w:szCs w:val="24"/>
          <w:lang w:eastAsia="en-GB"/>
        </w:rPr>
        <w:t xml:space="preserve"> </w:t>
      </w:r>
      <w:r w:rsidRPr="00AC2FA3">
        <w:rPr>
          <w:rFonts w:cs="Arial"/>
          <w:b/>
          <w:szCs w:val="24"/>
          <w:lang w:eastAsia="en-GB"/>
        </w:rPr>
        <w:t>Government Funding</w:t>
      </w:r>
    </w:p>
    <w:p w14:paraId="0468FC53" w14:textId="77777777" w:rsidR="00AC2FA3" w:rsidRPr="00AC2FA3" w:rsidRDefault="00AC2FA3" w:rsidP="00AC2FA3">
      <w:pPr>
        <w:autoSpaceDE w:val="0"/>
        <w:autoSpaceDN w:val="0"/>
        <w:adjustRightInd w:val="0"/>
        <w:spacing w:after="0" w:line="240" w:lineRule="auto"/>
        <w:ind w:left="142"/>
        <w:outlineLvl w:val="0"/>
        <w:rPr>
          <w:rFonts w:cs="Arial"/>
          <w:szCs w:val="24"/>
          <w:lang w:eastAsia="en-GB"/>
        </w:rPr>
      </w:pPr>
    </w:p>
    <w:p w14:paraId="4AA4BF36" w14:textId="3CD13877" w:rsidR="00AC2FA3" w:rsidRPr="00AC2FA3" w:rsidRDefault="00AC2FA3" w:rsidP="00AC2FA3">
      <w:pPr>
        <w:tabs>
          <w:tab w:val="left" w:pos="0"/>
        </w:tabs>
        <w:autoSpaceDE w:val="0"/>
        <w:autoSpaceDN w:val="0"/>
        <w:adjustRightInd w:val="0"/>
        <w:spacing w:after="0" w:line="240" w:lineRule="auto"/>
        <w:jc w:val="both"/>
        <w:rPr>
          <w:rFonts w:cs="Arial"/>
          <w:szCs w:val="24"/>
          <w:lang w:eastAsia="en-GB"/>
        </w:rPr>
      </w:pPr>
      <w:r w:rsidRPr="00AC2FA3">
        <w:rPr>
          <w:rFonts w:cs="Arial"/>
          <w:szCs w:val="24"/>
          <w:lang w:eastAsia="en-GB"/>
        </w:rPr>
        <w:t>The council did not take up the offer in 2016 of a multi-ye</w:t>
      </w:r>
      <w:r w:rsidR="00C173E7">
        <w:rPr>
          <w:rFonts w:cs="Arial"/>
          <w:szCs w:val="24"/>
          <w:lang w:eastAsia="en-GB"/>
        </w:rPr>
        <w:t>ar finance settlement covering revenue support grant, rural services delivery grant and transitional g</w:t>
      </w:r>
      <w:r w:rsidRPr="00AC2FA3">
        <w:rPr>
          <w:rFonts w:cs="Arial"/>
          <w:szCs w:val="24"/>
          <w:lang w:eastAsia="en-GB"/>
        </w:rPr>
        <w:t>rant.</w:t>
      </w:r>
      <w:r w:rsidR="00C173E7">
        <w:rPr>
          <w:rFonts w:cs="Arial"/>
          <w:szCs w:val="24"/>
          <w:lang w:eastAsia="en-GB"/>
        </w:rPr>
        <w:t xml:space="preserve"> Revenue s</w:t>
      </w:r>
      <w:r w:rsidRPr="00AC2FA3">
        <w:rPr>
          <w:rFonts w:cs="Arial"/>
          <w:szCs w:val="24"/>
          <w:lang w:eastAsia="en-GB"/>
        </w:rPr>
        <w:t xml:space="preserve">upport </w:t>
      </w:r>
      <w:r w:rsidR="00C173E7">
        <w:rPr>
          <w:rFonts w:cs="Arial"/>
          <w:szCs w:val="24"/>
          <w:lang w:eastAsia="en-GB"/>
        </w:rPr>
        <w:t>g</w:t>
      </w:r>
      <w:r w:rsidRPr="00AC2FA3">
        <w:rPr>
          <w:rFonts w:cs="Arial"/>
          <w:szCs w:val="24"/>
          <w:lang w:eastAsia="en-GB"/>
        </w:rPr>
        <w:t>rant is expected to formally end in 2019/20 and the impact on the council of the Business Rate Retention Scheme and Fair Funding Review from 2020/21 is not yet known. For the purpose of the budget and MTFS a neutral position</w:t>
      </w:r>
      <w:r w:rsidR="00C173E7">
        <w:rPr>
          <w:rFonts w:cs="Arial"/>
          <w:szCs w:val="24"/>
          <w:lang w:eastAsia="en-GB"/>
        </w:rPr>
        <w:t xml:space="preserve"> has been assumed including no revenue support g</w:t>
      </w:r>
      <w:r w:rsidR="007A4950">
        <w:rPr>
          <w:rFonts w:cs="Arial"/>
          <w:szCs w:val="24"/>
          <w:lang w:eastAsia="en-GB"/>
        </w:rPr>
        <w:t>rant fro</w:t>
      </w:r>
      <w:r w:rsidRPr="00AC2FA3">
        <w:rPr>
          <w:rFonts w:cs="Arial"/>
          <w:szCs w:val="24"/>
          <w:lang w:eastAsia="en-GB"/>
        </w:rPr>
        <w:t>m 2019/20 and will be updated when further information is known. Following the successful bid by Lancashire to be a 75% business rates pilot for 2019/20 the county council will no longer receive RSG and the equivalent amount that is expected has been built into the business rates pilot workings.</w:t>
      </w:r>
    </w:p>
    <w:p w14:paraId="2D486A43" w14:textId="77777777" w:rsidR="00AC2FA3" w:rsidRPr="00AC2FA3" w:rsidRDefault="00AC2FA3" w:rsidP="00AC2FA3">
      <w:pPr>
        <w:tabs>
          <w:tab w:val="left" w:pos="0"/>
        </w:tabs>
        <w:autoSpaceDE w:val="0"/>
        <w:autoSpaceDN w:val="0"/>
        <w:adjustRightInd w:val="0"/>
        <w:spacing w:after="0" w:line="240" w:lineRule="auto"/>
        <w:jc w:val="both"/>
        <w:rPr>
          <w:rFonts w:cs="Arial"/>
          <w:szCs w:val="24"/>
          <w:lang w:eastAsia="en-GB"/>
        </w:rPr>
      </w:pPr>
    </w:p>
    <w:p w14:paraId="4E21588B" w14:textId="77777777" w:rsidR="00AC2FA3" w:rsidRPr="00AC2FA3" w:rsidRDefault="00AC2FA3" w:rsidP="00AC2FA3">
      <w:pPr>
        <w:tabs>
          <w:tab w:val="left" w:pos="0"/>
        </w:tabs>
        <w:autoSpaceDE w:val="0"/>
        <w:autoSpaceDN w:val="0"/>
        <w:adjustRightInd w:val="0"/>
        <w:spacing w:after="0" w:line="240" w:lineRule="auto"/>
        <w:jc w:val="both"/>
        <w:rPr>
          <w:rFonts w:cs="Arial"/>
          <w:szCs w:val="24"/>
          <w:lang w:eastAsia="en-GB"/>
        </w:rPr>
      </w:pPr>
      <w:r w:rsidRPr="00AC2FA3">
        <w:rPr>
          <w:rFonts w:cs="Arial"/>
          <w:szCs w:val="24"/>
          <w:lang w:eastAsia="en-GB"/>
        </w:rPr>
        <w:t xml:space="preserve">Additional funding was announced for both adult social care and children's services, with the county council receiving an additional £15m. This was however announced as one-off funding, although as part of the MTFS it has been assumed that this funding will continue due to demand pressures that councils are facing. There was no additional funding announced to support the new pay spine for local government workers and these additional cost pressures have been included in the strategy.  </w:t>
      </w:r>
    </w:p>
    <w:p w14:paraId="704E9BEB" w14:textId="77777777" w:rsidR="00AC2FA3" w:rsidRPr="00AC2FA3" w:rsidRDefault="00AC2FA3" w:rsidP="00AC2FA3">
      <w:pPr>
        <w:tabs>
          <w:tab w:val="left" w:pos="0"/>
        </w:tabs>
        <w:autoSpaceDE w:val="0"/>
        <w:autoSpaceDN w:val="0"/>
        <w:adjustRightInd w:val="0"/>
        <w:spacing w:after="0" w:line="240" w:lineRule="auto"/>
        <w:jc w:val="both"/>
        <w:rPr>
          <w:rFonts w:cs="Arial"/>
          <w:szCs w:val="24"/>
          <w:lang w:eastAsia="en-GB"/>
        </w:rPr>
      </w:pPr>
    </w:p>
    <w:p w14:paraId="12C074E5" w14:textId="4316ED54" w:rsidR="00AC2FA3" w:rsidRPr="00AC2FA3" w:rsidRDefault="00AC2FA3" w:rsidP="00AC2FA3">
      <w:pPr>
        <w:tabs>
          <w:tab w:val="left" w:pos="0"/>
        </w:tabs>
        <w:autoSpaceDE w:val="0"/>
        <w:autoSpaceDN w:val="0"/>
        <w:adjustRightInd w:val="0"/>
        <w:spacing w:after="0" w:line="240" w:lineRule="auto"/>
        <w:jc w:val="both"/>
        <w:rPr>
          <w:rFonts w:cs="Arial"/>
          <w:szCs w:val="24"/>
          <w:lang w:eastAsia="en-GB"/>
        </w:rPr>
      </w:pPr>
      <w:r w:rsidRPr="00AC2FA3">
        <w:rPr>
          <w:rFonts w:cs="Arial"/>
          <w:szCs w:val="24"/>
          <w:lang w:eastAsia="en-GB"/>
        </w:rPr>
        <w:t>The fina</w:t>
      </w:r>
      <w:r w:rsidR="00883EAF">
        <w:rPr>
          <w:rFonts w:cs="Arial"/>
          <w:szCs w:val="24"/>
          <w:lang w:eastAsia="en-GB"/>
        </w:rPr>
        <w:t>l settlement has confirmed the c</w:t>
      </w:r>
      <w:r w:rsidRPr="00AC2FA3">
        <w:rPr>
          <w:rFonts w:cs="Arial"/>
          <w:szCs w:val="24"/>
          <w:lang w:eastAsia="en-GB"/>
        </w:rPr>
        <w:t>ouncil</w:t>
      </w:r>
      <w:r w:rsidR="007A4950">
        <w:rPr>
          <w:rFonts w:cs="Arial"/>
          <w:szCs w:val="24"/>
          <w:lang w:eastAsia="en-GB"/>
        </w:rPr>
        <w:t>'s</w:t>
      </w:r>
      <w:r w:rsidRPr="00AC2FA3">
        <w:rPr>
          <w:rFonts w:cs="Arial"/>
          <w:szCs w:val="24"/>
          <w:lang w:eastAsia="en-GB"/>
        </w:rPr>
        <w:t xml:space="preserve"> scope to increase council tax by an additional 1% in 2019/20 on the grounds that it keeps pace with inflation, CPI is currently running at 3%.  Adult social care precept arrangem</w:t>
      </w:r>
      <w:r w:rsidR="00883EAF">
        <w:rPr>
          <w:rFonts w:cs="Arial"/>
          <w:szCs w:val="24"/>
          <w:lang w:eastAsia="en-GB"/>
        </w:rPr>
        <w:t>ents also remain unchanged for c</w:t>
      </w:r>
      <w:r w:rsidRPr="00AC2FA3">
        <w:rPr>
          <w:rFonts w:cs="Arial"/>
          <w:szCs w:val="24"/>
          <w:lang w:eastAsia="en-GB"/>
        </w:rPr>
        <w:t>ouncils</w:t>
      </w:r>
      <w:r w:rsidR="00407446">
        <w:rPr>
          <w:rFonts w:cs="Arial"/>
          <w:szCs w:val="24"/>
          <w:lang w:eastAsia="en-GB"/>
        </w:rPr>
        <w:t>,</w:t>
      </w:r>
      <w:r w:rsidRPr="00AC2FA3">
        <w:rPr>
          <w:rFonts w:cs="Arial"/>
          <w:szCs w:val="24"/>
          <w:lang w:eastAsia="en-GB"/>
        </w:rPr>
        <w:t xml:space="preserve"> with adult social care responsibilities able to add up to a 3% increase in council tax up to a maximum of 6% over the period 2017/18 to 2019/20.  These flexibilities are included in the strategy as part of this report. </w:t>
      </w:r>
    </w:p>
    <w:p w14:paraId="7C5125AB" w14:textId="77777777" w:rsidR="00AC2FA3" w:rsidRPr="00AC2FA3" w:rsidRDefault="00AC2FA3" w:rsidP="00AC2FA3">
      <w:pPr>
        <w:autoSpaceDE w:val="0"/>
        <w:autoSpaceDN w:val="0"/>
        <w:adjustRightInd w:val="0"/>
        <w:spacing w:after="0" w:line="240" w:lineRule="auto"/>
        <w:outlineLvl w:val="0"/>
        <w:rPr>
          <w:rFonts w:cs="Arial"/>
          <w:szCs w:val="24"/>
          <w:lang w:eastAsia="en-GB"/>
        </w:rPr>
      </w:pPr>
    </w:p>
    <w:p w14:paraId="501EFEF7" w14:textId="77777777" w:rsidR="00AC2FA3" w:rsidRPr="00AC2FA3" w:rsidRDefault="00AC2FA3" w:rsidP="00AC2FA3">
      <w:pPr>
        <w:numPr>
          <w:ilvl w:val="0"/>
          <w:numId w:val="16"/>
        </w:numPr>
        <w:autoSpaceDE w:val="0"/>
        <w:autoSpaceDN w:val="0"/>
        <w:adjustRightInd w:val="0"/>
        <w:spacing w:after="0" w:line="240" w:lineRule="auto"/>
        <w:ind w:left="426" w:hanging="426"/>
        <w:outlineLvl w:val="0"/>
        <w:rPr>
          <w:rFonts w:cs="Arial"/>
          <w:b/>
          <w:szCs w:val="24"/>
          <w:lang w:eastAsia="en-GB"/>
        </w:rPr>
      </w:pPr>
      <w:r w:rsidRPr="00AC2FA3">
        <w:rPr>
          <w:rFonts w:cs="Arial"/>
          <w:b/>
          <w:szCs w:val="24"/>
          <w:lang w:eastAsia="en-GB"/>
        </w:rPr>
        <w:t>Service Demand</w:t>
      </w:r>
    </w:p>
    <w:p w14:paraId="50282EA9" w14:textId="77777777" w:rsidR="00AC2FA3" w:rsidRPr="00AC2FA3" w:rsidRDefault="00AC2FA3" w:rsidP="00AC2FA3">
      <w:pPr>
        <w:autoSpaceDE w:val="0"/>
        <w:autoSpaceDN w:val="0"/>
        <w:adjustRightInd w:val="0"/>
        <w:spacing w:after="0" w:line="240" w:lineRule="auto"/>
        <w:ind w:left="142"/>
        <w:outlineLvl w:val="0"/>
        <w:rPr>
          <w:rFonts w:cs="Arial"/>
          <w:szCs w:val="24"/>
          <w:lang w:eastAsia="en-GB"/>
        </w:rPr>
      </w:pPr>
    </w:p>
    <w:p w14:paraId="3092D692"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This is a key risk facing the council in both preparing future budgets and managing budgets during the year. As reported in the budget monitoring reports presented to cabinet over the year, demand for both adult and children's social care services and waste services continue to see increases despite the impact of demand management measures and additional funds being built into the budget to reflect forecast pressures. </w:t>
      </w:r>
    </w:p>
    <w:p w14:paraId="0C3E7C54" w14:textId="77777777" w:rsidR="00AC2FA3" w:rsidRPr="00AC2FA3" w:rsidRDefault="00AC2FA3" w:rsidP="00AC2FA3">
      <w:pPr>
        <w:autoSpaceDE w:val="0"/>
        <w:autoSpaceDN w:val="0"/>
        <w:adjustRightInd w:val="0"/>
        <w:spacing w:after="0" w:line="240" w:lineRule="auto"/>
        <w:rPr>
          <w:rFonts w:cs="Arial"/>
          <w:i/>
          <w:szCs w:val="24"/>
          <w:lang w:eastAsia="en-GB"/>
        </w:rPr>
      </w:pPr>
    </w:p>
    <w:p w14:paraId="54345B76"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Over the period 2019/20 to 2022/23 £75m has been provided in the MTFS for demand pressures of which £50.5m relates to adult social care and £14.0m children's social care. These have been identified based on current and historical trends and population projections where appropriate (particularly linked to the ageing population in respect of adult social care).  Whilst for adult social care the estimates are based on assumptions that have previously been a reasonable prediction of demand, during the current financial year significant and unanticipated increased costs in relation to children's social care have occurred and have been reported to </w:t>
      </w:r>
      <w:r w:rsidRPr="00AC2FA3">
        <w:rPr>
          <w:rFonts w:cs="Arial"/>
          <w:szCs w:val="24"/>
          <w:lang w:eastAsia="en-GB"/>
        </w:rPr>
        <w:tab/>
        <w:t xml:space="preserve">cabinet in revenue monitoring reports.  </w:t>
      </w:r>
    </w:p>
    <w:p w14:paraId="77A59980"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26FEC953"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Detailed work continues to be undertaken focused on a better understanding of the causes of increasing demand and what steps can be taken to mitigate the financial impact, which along with grant funding reductions, is a major contributing factor towards the funding gap reported in the MTFS.  </w:t>
      </w:r>
    </w:p>
    <w:p w14:paraId="177E3884" w14:textId="77777777" w:rsidR="00AC2FA3" w:rsidRPr="00AC2FA3" w:rsidRDefault="00AC2FA3" w:rsidP="00AC2FA3">
      <w:pPr>
        <w:autoSpaceDE w:val="0"/>
        <w:autoSpaceDN w:val="0"/>
        <w:adjustRightInd w:val="0"/>
        <w:spacing w:after="0" w:line="240" w:lineRule="auto"/>
        <w:rPr>
          <w:rFonts w:cs="Arial"/>
          <w:i/>
          <w:szCs w:val="24"/>
          <w:lang w:eastAsia="en-GB"/>
        </w:rPr>
      </w:pPr>
    </w:p>
    <w:p w14:paraId="604ADEBE" w14:textId="77777777" w:rsidR="00AC2FA3" w:rsidRPr="00AC2FA3" w:rsidRDefault="00AC2FA3" w:rsidP="00AC2FA3">
      <w:pPr>
        <w:numPr>
          <w:ilvl w:val="0"/>
          <w:numId w:val="16"/>
        </w:numPr>
        <w:spacing w:after="0" w:line="240" w:lineRule="auto"/>
        <w:jc w:val="both"/>
        <w:rPr>
          <w:rFonts w:eastAsia="Calibri" w:cs="Arial"/>
          <w:b/>
          <w:szCs w:val="24"/>
        </w:rPr>
      </w:pPr>
      <w:r w:rsidRPr="00AC2FA3">
        <w:rPr>
          <w:rFonts w:eastAsia="Calibri" w:cs="Arial"/>
          <w:b/>
          <w:szCs w:val="24"/>
        </w:rPr>
        <w:t xml:space="preserve">Pay </w:t>
      </w:r>
    </w:p>
    <w:p w14:paraId="3350011B" w14:textId="77777777" w:rsidR="00AC2FA3" w:rsidRPr="00AC2FA3" w:rsidRDefault="00AC2FA3" w:rsidP="00AC2FA3">
      <w:pPr>
        <w:spacing w:after="0" w:line="240" w:lineRule="auto"/>
        <w:jc w:val="both"/>
        <w:rPr>
          <w:rFonts w:eastAsia="Calibri" w:cs="Arial"/>
          <w:szCs w:val="24"/>
        </w:rPr>
      </w:pPr>
    </w:p>
    <w:p w14:paraId="1F4739BC"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The majority of the pay bill is driven by the national pay agreement and the announcement of a new pay spine represents a significant additional cost pressure reflected in the updated MTFS.  The county council also remains committed to paying its employees as an accredited member of the Living Wage Foundation who have announced a 2.86% increase in the living wage. The impact of this initial increase and further 3.00% (2020/21) and 2.90% (2021/22 &amp; 2022/23) increases in subsequent years for those staff directly impacted has been factored into the MTFS.     </w:t>
      </w:r>
    </w:p>
    <w:p w14:paraId="0A7E9B5F" w14:textId="77777777" w:rsidR="00AC2FA3" w:rsidRPr="00AC2FA3" w:rsidRDefault="00AC2FA3" w:rsidP="00AC2FA3">
      <w:pPr>
        <w:autoSpaceDE w:val="0"/>
        <w:autoSpaceDN w:val="0"/>
        <w:adjustRightInd w:val="0"/>
        <w:spacing w:after="0" w:line="240" w:lineRule="auto"/>
        <w:rPr>
          <w:rFonts w:cs="Arial"/>
          <w:i/>
          <w:szCs w:val="24"/>
          <w:lang w:eastAsia="en-GB"/>
        </w:rPr>
      </w:pPr>
    </w:p>
    <w:p w14:paraId="361B3639" w14:textId="77777777" w:rsidR="00AC2FA3" w:rsidRPr="00AC2FA3" w:rsidRDefault="00AC2FA3" w:rsidP="00AC2FA3">
      <w:pPr>
        <w:numPr>
          <w:ilvl w:val="0"/>
          <w:numId w:val="16"/>
        </w:numPr>
        <w:autoSpaceDE w:val="0"/>
        <w:autoSpaceDN w:val="0"/>
        <w:adjustRightInd w:val="0"/>
        <w:spacing w:after="0" w:line="240" w:lineRule="auto"/>
        <w:outlineLvl w:val="0"/>
        <w:rPr>
          <w:rFonts w:cs="Arial"/>
          <w:b/>
          <w:szCs w:val="24"/>
          <w:lang w:eastAsia="en-GB"/>
        </w:rPr>
      </w:pPr>
      <w:r w:rsidRPr="00AC2FA3">
        <w:rPr>
          <w:rFonts w:cs="Arial"/>
          <w:b/>
          <w:szCs w:val="24"/>
          <w:lang w:eastAsia="en-GB"/>
        </w:rPr>
        <w:t>Inflation</w:t>
      </w:r>
    </w:p>
    <w:p w14:paraId="4CFBF0B6" w14:textId="77777777" w:rsidR="00AC2FA3" w:rsidRPr="00AC2FA3" w:rsidRDefault="00AC2FA3" w:rsidP="00AC2FA3">
      <w:pPr>
        <w:autoSpaceDE w:val="0"/>
        <w:autoSpaceDN w:val="0"/>
        <w:adjustRightInd w:val="0"/>
        <w:spacing w:after="0" w:line="240" w:lineRule="auto"/>
        <w:rPr>
          <w:rFonts w:cs="Arial"/>
          <w:i/>
          <w:szCs w:val="24"/>
          <w:lang w:eastAsia="en-GB"/>
        </w:rPr>
      </w:pPr>
    </w:p>
    <w:p w14:paraId="784E654F"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The Monetary Policy Committee (MPC) of the Bank of England has been set an inflation target by the Government of 2% as</w:t>
      </w:r>
      <w:r w:rsidRPr="00AC2FA3">
        <w:rPr>
          <w:szCs w:val="20"/>
          <w:lang w:eastAsia="en-GB"/>
        </w:rPr>
        <w:t xml:space="preserve"> measured by </w:t>
      </w:r>
      <w:r w:rsidRPr="00AC2FA3">
        <w:rPr>
          <w:rFonts w:cs="Arial"/>
          <w:szCs w:val="24"/>
          <w:lang w:eastAsia="en-GB"/>
        </w:rPr>
        <w:t>Consumer Prices Index (CPI). The CPI has been above this level since early 2017 increasing to 3.1% in November 2017. However, the rate has fallen since then with the November 2018 rate being 2.3%. The Bank of England anticipate that inflation will be within target in the medium term.</w:t>
      </w:r>
    </w:p>
    <w:p w14:paraId="729176D1" w14:textId="77777777" w:rsidR="00AC2FA3" w:rsidRPr="00AC2FA3" w:rsidRDefault="00AC2FA3" w:rsidP="00AC2FA3">
      <w:pPr>
        <w:autoSpaceDE w:val="0"/>
        <w:autoSpaceDN w:val="0"/>
        <w:adjustRightInd w:val="0"/>
        <w:spacing w:after="0" w:line="240" w:lineRule="auto"/>
        <w:jc w:val="both"/>
        <w:rPr>
          <w:rFonts w:cs="Arial"/>
          <w:szCs w:val="24"/>
          <w:highlight w:val="yellow"/>
          <w:lang w:eastAsia="en-GB"/>
        </w:rPr>
      </w:pPr>
    </w:p>
    <w:p w14:paraId="51881826"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6D135D1E"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1AE836A5"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providers.</w:t>
      </w:r>
    </w:p>
    <w:p w14:paraId="59851D66" w14:textId="77777777" w:rsidR="00AC2FA3" w:rsidRPr="00AC2FA3" w:rsidRDefault="00AC2FA3" w:rsidP="00AC2FA3">
      <w:pPr>
        <w:spacing w:after="0" w:line="240" w:lineRule="auto"/>
        <w:jc w:val="both"/>
        <w:rPr>
          <w:rFonts w:cs="Arial"/>
          <w:szCs w:val="24"/>
          <w:lang w:eastAsia="en-GB"/>
        </w:rPr>
      </w:pPr>
      <w:r w:rsidRPr="00AC2FA3">
        <w:rPr>
          <w:rFonts w:cs="Arial"/>
          <w:szCs w:val="24"/>
          <w:lang w:eastAsia="en-GB"/>
        </w:rPr>
        <w:t xml:space="preserve"> </w:t>
      </w:r>
    </w:p>
    <w:p w14:paraId="62C5BA81" w14:textId="77777777" w:rsidR="00AC2FA3" w:rsidRPr="00AC2FA3" w:rsidRDefault="00AC2FA3" w:rsidP="00AC2FA3">
      <w:pPr>
        <w:numPr>
          <w:ilvl w:val="0"/>
          <w:numId w:val="16"/>
        </w:numPr>
        <w:spacing w:after="0" w:line="240" w:lineRule="auto"/>
        <w:jc w:val="both"/>
        <w:outlineLvl w:val="0"/>
        <w:rPr>
          <w:rFonts w:cs="Arial"/>
          <w:b/>
          <w:szCs w:val="24"/>
          <w:lang w:eastAsia="en-GB"/>
        </w:rPr>
      </w:pPr>
      <w:r w:rsidRPr="00AC2FA3">
        <w:rPr>
          <w:rFonts w:cs="Arial"/>
          <w:b/>
          <w:szCs w:val="24"/>
          <w:lang w:eastAsia="en-GB"/>
        </w:rPr>
        <w:t>Interest Rates</w:t>
      </w:r>
    </w:p>
    <w:p w14:paraId="5690C8A5" w14:textId="77777777" w:rsidR="00AC2FA3" w:rsidRPr="00AC2FA3" w:rsidRDefault="00AC2FA3" w:rsidP="00AC2FA3">
      <w:pPr>
        <w:spacing w:after="0" w:line="240" w:lineRule="auto"/>
        <w:ind w:left="360"/>
        <w:jc w:val="both"/>
        <w:outlineLvl w:val="0"/>
        <w:rPr>
          <w:rFonts w:cs="Arial"/>
          <w:szCs w:val="24"/>
          <w:lang w:eastAsia="en-GB"/>
        </w:rPr>
      </w:pPr>
    </w:p>
    <w:p w14:paraId="0B6E3D5C" w14:textId="77777777" w:rsidR="00AC2FA3" w:rsidRPr="00AC2FA3" w:rsidRDefault="00AC2FA3" w:rsidP="00AC2FA3">
      <w:pPr>
        <w:spacing w:after="0" w:line="240" w:lineRule="auto"/>
        <w:jc w:val="both"/>
        <w:rPr>
          <w:rFonts w:cs="Arial"/>
          <w:szCs w:val="24"/>
          <w:lang w:eastAsia="en-GB"/>
        </w:rPr>
      </w:pPr>
      <w:r w:rsidRPr="00AC2FA3">
        <w:rPr>
          <w:rFonts w:cs="Arial"/>
          <w:szCs w:val="24"/>
          <w:lang w:eastAsia="en-GB"/>
        </w:rPr>
        <w:t xml:space="preserve">In August 2018 the MPC raised the base rate by 0.25% to 0.75%. This followed a previous increase in November 2017 which was the first increase in a decade. </w:t>
      </w:r>
    </w:p>
    <w:p w14:paraId="1F34969D" w14:textId="77777777" w:rsidR="00AC2FA3" w:rsidRPr="00AC2FA3" w:rsidRDefault="00AC2FA3" w:rsidP="00AC2FA3">
      <w:pPr>
        <w:spacing w:after="0" w:line="240" w:lineRule="auto"/>
        <w:jc w:val="both"/>
        <w:rPr>
          <w:rFonts w:cs="Arial"/>
          <w:szCs w:val="24"/>
          <w:lang w:eastAsia="en-GB"/>
        </w:rPr>
      </w:pPr>
    </w:p>
    <w:p w14:paraId="3F82D49C" w14:textId="4202FCE6" w:rsidR="00AC2FA3" w:rsidRPr="00AC2FA3" w:rsidRDefault="007A4950" w:rsidP="00AC2FA3">
      <w:pPr>
        <w:spacing w:after="0" w:line="240" w:lineRule="auto"/>
        <w:jc w:val="both"/>
        <w:rPr>
          <w:rFonts w:cs="Arial"/>
          <w:szCs w:val="24"/>
          <w:lang w:eastAsia="en-GB"/>
        </w:rPr>
      </w:pPr>
      <w:r>
        <w:rPr>
          <w:rFonts w:cs="Arial"/>
          <w:szCs w:val="24"/>
          <w:lang w:eastAsia="en-GB"/>
        </w:rPr>
        <w:t>Despite this</w:t>
      </w:r>
      <w:r w:rsidR="00AC2FA3" w:rsidRPr="00AC2FA3">
        <w:rPr>
          <w:rFonts w:cs="Arial"/>
          <w:szCs w:val="24"/>
          <w:lang w:eastAsia="en-GB"/>
        </w:rPr>
        <w:t xml:space="preserve"> increase the base rate continues to be at historically low levels and the Bank of England has maintained expectations for slow and steady rate rises in line with the performance of the economy. The county council's treasury advisors predict two more 0.25% rises during 2019 to take official UK interest rates to 1.25%. </w:t>
      </w:r>
    </w:p>
    <w:p w14:paraId="19233AC4" w14:textId="77777777" w:rsidR="00AC2FA3" w:rsidRPr="00AC2FA3" w:rsidRDefault="00AC2FA3" w:rsidP="00AC2FA3">
      <w:pPr>
        <w:spacing w:after="0" w:line="240" w:lineRule="auto"/>
        <w:jc w:val="both"/>
        <w:rPr>
          <w:rFonts w:cs="Arial"/>
          <w:szCs w:val="24"/>
          <w:lang w:eastAsia="en-GB"/>
        </w:rPr>
      </w:pPr>
    </w:p>
    <w:p w14:paraId="77923FBA" w14:textId="77777777" w:rsidR="00AC2FA3" w:rsidRPr="00AC2FA3" w:rsidRDefault="00AC2FA3" w:rsidP="00AC2FA3">
      <w:pPr>
        <w:numPr>
          <w:ilvl w:val="0"/>
          <w:numId w:val="16"/>
        </w:numPr>
        <w:autoSpaceDE w:val="0"/>
        <w:autoSpaceDN w:val="0"/>
        <w:adjustRightInd w:val="0"/>
        <w:spacing w:after="0" w:line="240" w:lineRule="auto"/>
        <w:ind w:left="284" w:hanging="284"/>
        <w:outlineLvl w:val="0"/>
        <w:rPr>
          <w:rFonts w:cs="Arial"/>
          <w:b/>
          <w:szCs w:val="24"/>
          <w:lang w:eastAsia="en-GB"/>
        </w:rPr>
      </w:pPr>
      <w:r w:rsidRPr="00AC2FA3">
        <w:rPr>
          <w:rFonts w:cs="Arial"/>
          <w:b/>
          <w:szCs w:val="24"/>
          <w:lang w:eastAsia="en-GB"/>
        </w:rPr>
        <w:t>Savings Programme Delivery</w:t>
      </w:r>
    </w:p>
    <w:p w14:paraId="40A3AA32" w14:textId="77777777" w:rsidR="00AC2FA3" w:rsidRPr="00AC2FA3" w:rsidRDefault="00AC2FA3" w:rsidP="00AC2FA3">
      <w:pPr>
        <w:autoSpaceDE w:val="0"/>
        <w:autoSpaceDN w:val="0"/>
        <w:adjustRightInd w:val="0"/>
        <w:spacing w:after="0" w:line="240" w:lineRule="auto"/>
        <w:rPr>
          <w:rFonts w:cs="Arial"/>
          <w:i/>
          <w:szCs w:val="24"/>
          <w:lang w:eastAsia="en-GB"/>
        </w:rPr>
      </w:pPr>
    </w:p>
    <w:p w14:paraId="61C52218" w14:textId="72549EB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The council is committed to the delivery of a sign</w:t>
      </w:r>
      <w:r w:rsidR="00C173E7">
        <w:rPr>
          <w:rFonts w:cs="Arial"/>
          <w:szCs w:val="24"/>
          <w:lang w:eastAsia="en-GB"/>
        </w:rPr>
        <w:t>ificant savings programme (c£120</w:t>
      </w:r>
      <w:r w:rsidRPr="00AC2FA3">
        <w:rPr>
          <w:rFonts w:cs="Arial"/>
          <w:szCs w:val="24"/>
          <w:lang w:eastAsia="en-GB"/>
        </w:rPr>
        <w:t>m over the period 2019/2</w:t>
      </w:r>
      <w:r w:rsidR="00883EAF">
        <w:rPr>
          <w:rFonts w:cs="Arial"/>
          <w:szCs w:val="24"/>
          <w:lang w:eastAsia="en-GB"/>
        </w:rPr>
        <w:t>0 to 202</w:t>
      </w:r>
      <w:r w:rsidR="00C173E7">
        <w:rPr>
          <w:rFonts w:cs="Arial"/>
          <w:szCs w:val="24"/>
          <w:lang w:eastAsia="en-GB"/>
        </w:rPr>
        <w:t>2</w:t>
      </w:r>
      <w:r w:rsidRPr="00AC2FA3">
        <w:rPr>
          <w:rFonts w:cs="Arial"/>
          <w:szCs w:val="24"/>
          <w:lang w:eastAsia="en-GB"/>
        </w:rPr>
        <w:t>/2</w:t>
      </w:r>
      <w:r w:rsidR="00C173E7">
        <w:rPr>
          <w:rFonts w:cs="Arial"/>
          <w:szCs w:val="24"/>
          <w:lang w:eastAsia="en-GB"/>
        </w:rPr>
        <w:t>3</w:t>
      </w:r>
      <w:r w:rsidRPr="00AC2FA3">
        <w:rPr>
          <w:rFonts w:cs="Arial"/>
          <w:szCs w:val="24"/>
          <w:lang w:eastAsia="en-GB"/>
        </w:rPr>
        <w:t xml:space="preserve">) including c£77m of new savings already agreed by cabinet in December. There are inherent risks with saving plans of this scale and scope and any significant under-delivery of agreed savings will further increase the funding gap.  This has been identified as one of the highest level risks in the council's Risk and Opportunity Register and there are comprehensive arrangements in place to track delivery of financial savings and take corrective actions as required.  </w:t>
      </w:r>
    </w:p>
    <w:p w14:paraId="62B9DC11"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0F3C60DB" w14:textId="77777777" w:rsidR="00AC2FA3" w:rsidRPr="00AC2FA3" w:rsidRDefault="00AC2FA3" w:rsidP="00AC2FA3">
      <w:pPr>
        <w:autoSpaceDE w:val="0"/>
        <w:autoSpaceDN w:val="0"/>
        <w:adjustRightInd w:val="0"/>
        <w:spacing w:after="0" w:line="240" w:lineRule="auto"/>
        <w:rPr>
          <w:rFonts w:cs="Arial"/>
          <w:b/>
          <w:szCs w:val="24"/>
          <w:lang w:eastAsia="en-GB"/>
        </w:rPr>
      </w:pPr>
      <w:r w:rsidRPr="00AC2FA3">
        <w:rPr>
          <w:rFonts w:cs="Arial"/>
          <w:b/>
          <w:szCs w:val="24"/>
          <w:lang w:eastAsia="en-GB"/>
        </w:rPr>
        <w:t>Adequacy of Reserves</w:t>
      </w:r>
    </w:p>
    <w:p w14:paraId="1A5C5B85" w14:textId="77777777" w:rsidR="00AC2FA3" w:rsidRPr="00AC2FA3" w:rsidRDefault="00AC2FA3" w:rsidP="00AC2FA3">
      <w:pPr>
        <w:autoSpaceDE w:val="0"/>
        <w:autoSpaceDN w:val="0"/>
        <w:adjustRightInd w:val="0"/>
        <w:spacing w:after="0" w:line="240" w:lineRule="auto"/>
        <w:rPr>
          <w:rFonts w:cs="Arial"/>
          <w:b/>
          <w:szCs w:val="24"/>
          <w:lang w:eastAsia="en-GB"/>
        </w:rPr>
      </w:pPr>
    </w:p>
    <w:p w14:paraId="642FCC5D" w14:textId="77777777" w:rsidR="00AC2FA3" w:rsidRPr="00AC2FA3" w:rsidRDefault="00AC2FA3" w:rsidP="00AC2FA3">
      <w:pPr>
        <w:autoSpaceDE w:val="0"/>
        <w:autoSpaceDN w:val="0"/>
        <w:adjustRightInd w:val="0"/>
        <w:spacing w:after="0" w:line="240" w:lineRule="auto"/>
        <w:rPr>
          <w:rFonts w:cs="Arial"/>
          <w:szCs w:val="24"/>
          <w:lang w:eastAsia="en-GB"/>
        </w:rPr>
      </w:pPr>
      <w:r w:rsidRPr="00AC2FA3">
        <w:rPr>
          <w:rFonts w:cs="Arial"/>
          <w:szCs w:val="24"/>
          <w:lang w:eastAsia="en-GB"/>
        </w:rPr>
        <w:t>The council holds reserves for a number of reasons:</w:t>
      </w:r>
    </w:p>
    <w:p w14:paraId="18BFFDD4" w14:textId="77777777" w:rsidR="00AC2FA3" w:rsidRPr="00AC2FA3" w:rsidRDefault="00AC2FA3" w:rsidP="00AC2FA3">
      <w:pPr>
        <w:autoSpaceDE w:val="0"/>
        <w:autoSpaceDN w:val="0"/>
        <w:adjustRightInd w:val="0"/>
        <w:spacing w:after="0" w:line="240" w:lineRule="auto"/>
        <w:rPr>
          <w:rFonts w:cs="Arial"/>
          <w:szCs w:val="24"/>
          <w:lang w:eastAsia="en-GB"/>
        </w:rPr>
      </w:pPr>
    </w:p>
    <w:p w14:paraId="18797307" w14:textId="25E8DCA2" w:rsidR="00AC2FA3" w:rsidRPr="00AC2FA3" w:rsidRDefault="00AC2FA3" w:rsidP="00AC2FA3">
      <w:pPr>
        <w:numPr>
          <w:ilvl w:val="0"/>
          <w:numId w:val="17"/>
        </w:numPr>
        <w:autoSpaceDE w:val="0"/>
        <w:autoSpaceDN w:val="0"/>
        <w:adjustRightInd w:val="0"/>
        <w:spacing w:after="0" w:line="240" w:lineRule="auto"/>
        <w:jc w:val="both"/>
        <w:outlineLvl w:val="0"/>
        <w:rPr>
          <w:rFonts w:cs="Arial"/>
          <w:szCs w:val="24"/>
          <w:lang w:eastAsia="en-GB"/>
        </w:rPr>
      </w:pPr>
      <w:r w:rsidRPr="00AC2FA3">
        <w:rPr>
          <w:rFonts w:cs="Arial"/>
          <w:szCs w:val="24"/>
          <w:lang w:eastAsia="en-GB"/>
        </w:rPr>
        <w:t>to enable the council to deal with unexpected events such as flooding or the destruction of a major asset through fire</w:t>
      </w:r>
      <w:r w:rsidR="00407446">
        <w:rPr>
          <w:rFonts w:cs="Arial"/>
          <w:szCs w:val="24"/>
          <w:lang w:eastAsia="en-GB"/>
        </w:rPr>
        <w:t>;</w:t>
      </w:r>
    </w:p>
    <w:p w14:paraId="063E9230" w14:textId="4A8B2C28" w:rsidR="00AC2FA3" w:rsidRPr="00AC2FA3" w:rsidRDefault="00AC2FA3" w:rsidP="00AC2FA3">
      <w:pPr>
        <w:numPr>
          <w:ilvl w:val="0"/>
          <w:numId w:val="17"/>
        </w:numPr>
        <w:autoSpaceDE w:val="0"/>
        <w:autoSpaceDN w:val="0"/>
        <w:adjustRightInd w:val="0"/>
        <w:spacing w:after="0" w:line="240" w:lineRule="auto"/>
        <w:jc w:val="both"/>
        <w:outlineLvl w:val="0"/>
        <w:rPr>
          <w:rFonts w:cs="Arial"/>
          <w:szCs w:val="24"/>
          <w:lang w:eastAsia="en-GB"/>
        </w:rPr>
      </w:pPr>
      <w:r w:rsidRPr="00AC2FA3">
        <w:rPr>
          <w:rFonts w:cs="Arial"/>
          <w:szCs w:val="24"/>
          <w:lang w:eastAsia="en-GB"/>
        </w:rPr>
        <w:t>to enable the council to manage variations in the demand for services which cause in year budget pressures</w:t>
      </w:r>
      <w:r w:rsidR="00407446">
        <w:rPr>
          <w:rFonts w:cs="Arial"/>
          <w:szCs w:val="24"/>
          <w:lang w:eastAsia="en-GB"/>
        </w:rPr>
        <w:t>;</w:t>
      </w:r>
      <w:r w:rsidRPr="00AC2FA3">
        <w:rPr>
          <w:rFonts w:cs="Arial"/>
          <w:szCs w:val="24"/>
          <w:lang w:eastAsia="en-GB"/>
        </w:rPr>
        <w:t xml:space="preserve"> and</w:t>
      </w:r>
    </w:p>
    <w:p w14:paraId="297AE938" w14:textId="77777777" w:rsidR="00AC2FA3" w:rsidRPr="00AC2FA3" w:rsidRDefault="00AC2FA3" w:rsidP="00AC2FA3">
      <w:pPr>
        <w:numPr>
          <w:ilvl w:val="0"/>
          <w:numId w:val="17"/>
        </w:numPr>
        <w:autoSpaceDE w:val="0"/>
        <w:autoSpaceDN w:val="0"/>
        <w:adjustRightInd w:val="0"/>
        <w:spacing w:after="0" w:line="240" w:lineRule="auto"/>
        <w:jc w:val="both"/>
        <w:outlineLvl w:val="0"/>
        <w:rPr>
          <w:rFonts w:cs="Arial"/>
          <w:szCs w:val="24"/>
          <w:lang w:eastAsia="en-GB"/>
        </w:rPr>
      </w:pPr>
      <w:proofErr w:type="gramStart"/>
      <w:r w:rsidRPr="00AC2FA3">
        <w:rPr>
          <w:rFonts w:cs="Arial"/>
          <w:szCs w:val="24"/>
          <w:lang w:eastAsia="en-GB"/>
        </w:rPr>
        <w:t>to</w:t>
      </w:r>
      <w:proofErr w:type="gramEnd"/>
      <w:r w:rsidRPr="00AC2FA3">
        <w:rPr>
          <w:rFonts w:cs="Arial"/>
          <w:szCs w:val="24"/>
          <w:lang w:eastAsia="en-GB"/>
        </w:rPr>
        <w:t xml:space="preserve"> fund specific projects or identified demands on the budget. </w:t>
      </w:r>
    </w:p>
    <w:p w14:paraId="6B51E282"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3F6B74E9"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There is no 'right' answer to the question of the appropriate level of reserves for a local authority; this is a matter of judgement taking into account:</w:t>
      </w:r>
    </w:p>
    <w:p w14:paraId="1870E6D6"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3E547190" w14:textId="58380D02" w:rsidR="00AC2FA3" w:rsidRPr="00AC2FA3" w:rsidRDefault="00AC2FA3" w:rsidP="00AC2FA3">
      <w:pPr>
        <w:numPr>
          <w:ilvl w:val="0"/>
          <w:numId w:val="18"/>
        </w:numPr>
        <w:autoSpaceDE w:val="0"/>
        <w:autoSpaceDN w:val="0"/>
        <w:adjustRightInd w:val="0"/>
        <w:spacing w:after="0" w:line="240" w:lineRule="auto"/>
        <w:jc w:val="both"/>
        <w:outlineLvl w:val="0"/>
        <w:rPr>
          <w:rFonts w:cs="Arial"/>
          <w:szCs w:val="24"/>
          <w:lang w:eastAsia="en-GB"/>
        </w:rPr>
      </w:pPr>
      <w:r w:rsidRPr="00AC2FA3">
        <w:rPr>
          <w:rFonts w:cs="Arial"/>
          <w:szCs w:val="24"/>
          <w:lang w:eastAsia="en-GB"/>
        </w:rPr>
        <w:t>the level of risk evident within the budget as set out above</w:t>
      </w:r>
      <w:r w:rsidR="00407446">
        <w:rPr>
          <w:rFonts w:cs="Arial"/>
          <w:szCs w:val="24"/>
          <w:lang w:eastAsia="en-GB"/>
        </w:rPr>
        <w:t>;</w:t>
      </w:r>
    </w:p>
    <w:p w14:paraId="489588A3" w14:textId="3F222191" w:rsidR="00AC2FA3" w:rsidRPr="00AC2FA3" w:rsidRDefault="00AC2FA3" w:rsidP="00AC2FA3">
      <w:pPr>
        <w:numPr>
          <w:ilvl w:val="0"/>
          <w:numId w:val="18"/>
        </w:numPr>
        <w:autoSpaceDE w:val="0"/>
        <w:autoSpaceDN w:val="0"/>
        <w:adjustRightInd w:val="0"/>
        <w:spacing w:after="0" w:line="240" w:lineRule="auto"/>
        <w:jc w:val="both"/>
        <w:outlineLvl w:val="0"/>
        <w:rPr>
          <w:rFonts w:cs="Arial"/>
          <w:szCs w:val="24"/>
          <w:lang w:eastAsia="en-GB"/>
        </w:rPr>
      </w:pPr>
      <w:r w:rsidRPr="00AC2FA3">
        <w:rPr>
          <w:rFonts w:cs="Arial"/>
          <w:szCs w:val="24"/>
          <w:lang w:eastAsia="en-GB"/>
        </w:rPr>
        <w:t xml:space="preserve">a judgement on the effectiveness of budgetary </w:t>
      </w:r>
      <w:r w:rsidR="00407446">
        <w:rPr>
          <w:rFonts w:cs="Arial"/>
          <w:szCs w:val="24"/>
          <w:lang w:eastAsia="en-GB"/>
        </w:rPr>
        <w:t>control within the organisation;</w:t>
      </w:r>
      <w:r w:rsidRPr="00AC2FA3">
        <w:rPr>
          <w:rFonts w:cs="Arial"/>
          <w:szCs w:val="24"/>
          <w:lang w:eastAsia="en-GB"/>
        </w:rPr>
        <w:t xml:space="preserve"> and</w:t>
      </w:r>
    </w:p>
    <w:p w14:paraId="2BA7C190" w14:textId="77777777" w:rsidR="00AC2FA3" w:rsidRPr="00AC2FA3" w:rsidRDefault="00AC2FA3" w:rsidP="00AC2FA3">
      <w:pPr>
        <w:numPr>
          <w:ilvl w:val="0"/>
          <w:numId w:val="18"/>
        </w:numPr>
        <w:autoSpaceDE w:val="0"/>
        <w:autoSpaceDN w:val="0"/>
        <w:adjustRightInd w:val="0"/>
        <w:spacing w:after="0" w:line="240" w:lineRule="auto"/>
        <w:outlineLvl w:val="0"/>
        <w:rPr>
          <w:rFonts w:cs="Arial"/>
          <w:szCs w:val="24"/>
          <w:lang w:eastAsia="en-GB"/>
        </w:rPr>
      </w:pPr>
      <w:proofErr w:type="gramStart"/>
      <w:r w:rsidRPr="00AC2FA3">
        <w:rPr>
          <w:rFonts w:cs="Arial"/>
          <w:szCs w:val="24"/>
          <w:lang w:eastAsia="en-GB"/>
        </w:rPr>
        <w:t>the</w:t>
      </w:r>
      <w:proofErr w:type="gramEnd"/>
      <w:r w:rsidRPr="00AC2FA3">
        <w:rPr>
          <w:rFonts w:cs="Arial"/>
          <w:szCs w:val="24"/>
          <w:lang w:eastAsia="en-GB"/>
        </w:rPr>
        <w:t xml:space="preserve"> degree to which funds have already been set aside for specific purposes which will reduce the need for general reserves.</w:t>
      </w:r>
    </w:p>
    <w:p w14:paraId="5DB97DD0" w14:textId="77777777" w:rsidR="00AC2FA3" w:rsidRPr="00AC2FA3" w:rsidRDefault="00AC2FA3" w:rsidP="00AC2FA3">
      <w:pPr>
        <w:autoSpaceDE w:val="0"/>
        <w:autoSpaceDN w:val="0"/>
        <w:adjustRightInd w:val="0"/>
        <w:spacing w:after="0" w:line="240" w:lineRule="auto"/>
        <w:ind w:left="720"/>
        <w:outlineLvl w:val="0"/>
        <w:rPr>
          <w:rFonts w:cs="Arial"/>
          <w:szCs w:val="24"/>
          <w:lang w:eastAsia="en-GB"/>
        </w:rPr>
      </w:pPr>
    </w:p>
    <w:p w14:paraId="301C7FDC" w14:textId="07ACE9FC"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In relation to the council's general reserve (County Fund Balance), the forecast level at 31 March 2019 is £23.437m.  In addition the council continues to hold £10m as a formal treasury management reserve to reflect that, whilst the council's treasury management performance (covering both investment activity and financing costs) has been positive over an extended period, the outlook post-Brexit is particularly uncertain and volatile.  The reserve is there</w:t>
      </w:r>
      <w:r w:rsidR="00883EAF">
        <w:rPr>
          <w:rFonts w:cs="Arial"/>
          <w:szCs w:val="24"/>
          <w:lang w:eastAsia="en-GB"/>
        </w:rPr>
        <w:t xml:space="preserve"> to</w:t>
      </w:r>
      <w:r w:rsidRPr="00AC2FA3">
        <w:rPr>
          <w:rFonts w:cs="Arial"/>
          <w:szCs w:val="24"/>
          <w:lang w:eastAsia="en-GB"/>
        </w:rPr>
        <w:t xml:space="preserve"> hedge against that volatility, including interest rate changes and associated risks over the short-term</w:t>
      </w:r>
      <w:r w:rsidR="007A4950">
        <w:rPr>
          <w:rFonts w:cs="Arial"/>
          <w:szCs w:val="24"/>
          <w:lang w:eastAsia="en-GB"/>
        </w:rPr>
        <w:t>,</w:t>
      </w:r>
      <w:r w:rsidRPr="00AC2FA3">
        <w:rPr>
          <w:rFonts w:cs="Arial"/>
          <w:szCs w:val="24"/>
          <w:lang w:eastAsia="en-GB"/>
        </w:rPr>
        <w:t xml:space="preserve"> without directly impacting the revenue account.</w:t>
      </w:r>
    </w:p>
    <w:p w14:paraId="5061F8F5" w14:textId="77777777" w:rsidR="00AC2FA3" w:rsidRPr="00AC2FA3" w:rsidRDefault="00AC2FA3" w:rsidP="00AC2FA3">
      <w:pPr>
        <w:autoSpaceDE w:val="0"/>
        <w:autoSpaceDN w:val="0"/>
        <w:adjustRightInd w:val="0"/>
        <w:spacing w:after="0" w:line="240" w:lineRule="auto"/>
        <w:jc w:val="both"/>
        <w:rPr>
          <w:rFonts w:cs="Arial"/>
          <w:i/>
          <w:szCs w:val="24"/>
          <w:lang w:eastAsia="en-GB"/>
        </w:rPr>
      </w:pPr>
    </w:p>
    <w:p w14:paraId="5998A745"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The revenue budget has been heavily supported in recent years by the reserves that have been available to the county council and their value has therefore reduced significantly.  The value of the council's uncommitted transitional reserve by the end of the financial year is currently forecast to be £139.271m, including the 2018/19 forecast underspend. </w:t>
      </w:r>
    </w:p>
    <w:p w14:paraId="5055DADB" w14:textId="77777777" w:rsidR="00AC2FA3" w:rsidRPr="00AC2FA3" w:rsidRDefault="00AC2FA3" w:rsidP="00AC2FA3">
      <w:pPr>
        <w:autoSpaceDE w:val="0"/>
        <w:autoSpaceDN w:val="0"/>
        <w:adjustRightInd w:val="0"/>
        <w:spacing w:after="0" w:line="240" w:lineRule="auto"/>
        <w:jc w:val="both"/>
        <w:rPr>
          <w:rFonts w:cs="Arial"/>
          <w:i/>
          <w:szCs w:val="24"/>
          <w:lang w:eastAsia="en-GB"/>
        </w:rPr>
      </w:pPr>
    </w:p>
    <w:p w14:paraId="08B9E6C4" w14:textId="64DBC0C2"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The level of risk evident within the budget has been significant in recent years and remains so at a time when it is clear that the revenue budget for 2019/20 will also need to be supported by reserves. The council acknowledges that it needs to move to a sustainable financial position and also that this will take time to implement. The transitional reserve allows decisions to be made in a more measured an</w:t>
      </w:r>
      <w:r w:rsidR="00883EAF">
        <w:rPr>
          <w:rFonts w:cs="Arial"/>
          <w:szCs w:val="24"/>
          <w:lang w:eastAsia="en-GB"/>
        </w:rPr>
        <w:t>d considered way but does not</w:t>
      </w:r>
      <w:r w:rsidRPr="00AC2FA3">
        <w:rPr>
          <w:rFonts w:cs="Arial"/>
          <w:szCs w:val="24"/>
          <w:lang w:eastAsia="en-GB"/>
        </w:rPr>
        <w:t xml:space="preserve">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essential requirement that the council continues to ensure that processes are effective in maintaining a grip on in year expenditure and also that there is a clear focus on delivering a balanced and sustainable budget.</w:t>
      </w:r>
    </w:p>
    <w:p w14:paraId="5ED6B38F" w14:textId="77777777" w:rsidR="00AC2FA3" w:rsidRPr="00AC2FA3" w:rsidRDefault="00AC2FA3" w:rsidP="00AC2FA3">
      <w:pPr>
        <w:autoSpaceDE w:val="0"/>
        <w:autoSpaceDN w:val="0"/>
        <w:adjustRightInd w:val="0"/>
        <w:spacing w:after="0" w:line="240" w:lineRule="auto"/>
        <w:jc w:val="both"/>
        <w:rPr>
          <w:rFonts w:cs="Arial"/>
          <w:szCs w:val="24"/>
          <w:lang w:eastAsia="en-GB"/>
        </w:rPr>
      </w:pPr>
    </w:p>
    <w:p w14:paraId="6DB3644A"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As part of the MTFS report, scenario analysis and stress tests of the current financial gap and reserves position have been undertaken. A key scenario that has been tested relates to the savings that require consultation prior to implementation which total £7.529m (£2.150m 2019/20, £5.329m 2020/21 and £0.050m 2021/22). Should cabinet ultimately not agree to any of these savings being implemented post consultation, then there would be sufficient reserves to support the budget until part way through 2022/23. </w:t>
      </w:r>
    </w:p>
    <w:p w14:paraId="161B67F1" w14:textId="77777777" w:rsidR="00AC2FA3" w:rsidRPr="00AC2FA3" w:rsidRDefault="00AC2FA3" w:rsidP="00AC2FA3">
      <w:pPr>
        <w:autoSpaceDE w:val="0"/>
        <w:autoSpaceDN w:val="0"/>
        <w:adjustRightInd w:val="0"/>
        <w:spacing w:after="0" w:line="240" w:lineRule="auto"/>
        <w:jc w:val="both"/>
        <w:rPr>
          <w:rFonts w:cs="Arial"/>
          <w:i/>
          <w:szCs w:val="24"/>
          <w:lang w:eastAsia="en-GB"/>
        </w:rPr>
      </w:pPr>
    </w:p>
    <w:p w14:paraId="346F422C" w14:textId="77777777"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Overall, the council has an appropriate level of reserves available to manage the financial risks it is facing from 2019/20 to 2022/23. However, despite the identification of further savings through the service challenge process of c£77m it is necessary that additional savings are identified to be delivered to bring the council to a financially sustainable position. Any utilisation of remaining reserves should support, wherever possible, activities which reduce ongoing revenue costs. </w:t>
      </w:r>
    </w:p>
    <w:p w14:paraId="2B4A5F9D" w14:textId="77777777" w:rsidR="00AC2FA3" w:rsidRPr="00AC2FA3" w:rsidRDefault="00AC2FA3" w:rsidP="00AC2FA3">
      <w:pPr>
        <w:autoSpaceDE w:val="0"/>
        <w:autoSpaceDN w:val="0"/>
        <w:adjustRightInd w:val="0"/>
        <w:spacing w:after="0" w:line="240" w:lineRule="auto"/>
        <w:jc w:val="both"/>
        <w:rPr>
          <w:rFonts w:cs="Arial"/>
          <w:i/>
          <w:szCs w:val="24"/>
          <w:lang w:eastAsia="en-GB"/>
        </w:rPr>
      </w:pPr>
    </w:p>
    <w:p w14:paraId="5F42C467" w14:textId="77777777" w:rsidR="00AC2FA3" w:rsidRPr="00AC2FA3" w:rsidRDefault="00AC2FA3" w:rsidP="00AC2FA3">
      <w:pPr>
        <w:autoSpaceDE w:val="0"/>
        <w:autoSpaceDN w:val="0"/>
        <w:adjustRightInd w:val="0"/>
        <w:spacing w:after="0" w:line="240" w:lineRule="auto"/>
        <w:jc w:val="both"/>
        <w:rPr>
          <w:rFonts w:cs="Arial"/>
          <w:i/>
          <w:szCs w:val="24"/>
          <w:lang w:eastAsia="en-GB"/>
        </w:rPr>
      </w:pPr>
    </w:p>
    <w:p w14:paraId="1F75905E" w14:textId="77777777" w:rsidR="00AC2FA3" w:rsidRPr="00AC2FA3" w:rsidRDefault="00AC2FA3" w:rsidP="00AC2FA3">
      <w:pPr>
        <w:autoSpaceDE w:val="0"/>
        <w:autoSpaceDN w:val="0"/>
        <w:adjustRightInd w:val="0"/>
        <w:spacing w:after="0" w:line="240" w:lineRule="auto"/>
        <w:rPr>
          <w:rFonts w:cs="Arial"/>
          <w:b/>
          <w:szCs w:val="24"/>
          <w:lang w:eastAsia="en-GB"/>
        </w:rPr>
      </w:pPr>
      <w:r w:rsidRPr="00AC2FA3">
        <w:rPr>
          <w:rFonts w:cs="Arial"/>
          <w:b/>
          <w:szCs w:val="24"/>
          <w:lang w:eastAsia="en-GB"/>
        </w:rPr>
        <w:t>Conclusion</w:t>
      </w:r>
    </w:p>
    <w:p w14:paraId="7C301DAB" w14:textId="77777777" w:rsidR="00AC2FA3" w:rsidRPr="00AC2FA3" w:rsidRDefault="00AC2FA3" w:rsidP="00AC2FA3">
      <w:pPr>
        <w:autoSpaceDE w:val="0"/>
        <w:autoSpaceDN w:val="0"/>
        <w:adjustRightInd w:val="0"/>
        <w:spacing w:after="0" w:line="240" w:lineRule="auto"/>
        <w:rPr>
          <w:rFonts w:cs="Arial"/>
          <w:szCs w:val="24"/>
          <w:lang w:eastAsia="en-GB"/>
        </w:rPr>
      </w:pPr>
    </w:p>
    <w:p w14:paraId="5CEF19D0" w14:textId="1B6E9005" w:rsidR="00AC2FA3" w:rsidRPr="00AC2FA3" w:rsidRDefault="00AC2FA3" w:rsidP="00AC2FA3">
      <w:pPr>
        <w:autoSpaceDE w:val="0"/>
        <w:autoSpaceDN w:val="0"/>
        <w:adjustRightInd w:val="0"/>
        <w:spacing w:after="0" w:line="240" w:lineRule="auto"/>
        <w:jc w:val="both"/>
        <w:rPr>
          <w:rFonts w:cs="Arial"/>
          <w:szCs w:val="24"/>
          <w:lang w:eastAsia="en-GB"/>
        </w:rPr>
      </w:pPr>
      <w:r w:rsidRPr="00AC2FA3">
        <w:rPr>
          <w:rFonts w:cs="Arial"/>
          <w:szCs w:val="24"/>
          <w:lang w:eastAsia="en-GB"/>
        </w:rPr>
        <w:t xml:space="preserve">There has been a significant focus nationally on the financial resilience of councils and one of the key areas of concern has been the utilisation of reserves in supporting budgets and the levels of reserves remaining.  A key indicator identified by </w:t>
      </w:r>
      <w:r w:rsidR="00407446">
        <w:rPr>
          <w:rFonts w:cs="Arial"/>
          <w:szCs w:val="24"/>
          <w:lang w:eastAsia="en-GB"/>
        </w:rPr>
        <w:t xml:space="preserve">the </w:t>
      </w:r>
      <w:r w:rsidRPr="00AC2FA3">
        <w:rPr>
          <w:rFonts w:cs="Arial"/>
          <w:szCs w:val="24"/>
          <w:lang w:eastAsia="en-GB"/>
        </w:rPr>
        <w:t>Chartered Institute of Public Finance and Accountancy (CIPFA) in flagging up potential issues is the level of reserves used by a council to meet any funding shortfall in setting the budget compared to the average level of reserves used to fund any structural deficit over the previous 3 financial years.  The average over the last 3 years in Lancashire has been c£40m</w:t>
      </w:r>
      <w:r w:rsidR="00F75D23">
        <w:rPr>
          <w:rFonts w:cs="Arial"/>
          <w:szCs w:val="24"/>
          <w:lang w:eastAsia="en-GB"/>
        </w:rPr>
        <w:t xml:space="preserve"> and the proposed use of £10.245</w:t>
      </w:r>
      <w:r w:rsidRPr="00AC2FA3">
        <w:rPr>
          <w:rFonts w:cs="Arial"/>
          <w:szCs w:val="24"/>
          <w:lang w:eastAsia="en-GB"/>
        </w:rPr>
        <w:t xml:space="preserve">m for 2019/20 represents a significant improvement in this regard.  This follows strong financial control during the current financial year as evidenced by the forecast revenue underspend which will enable a transfer into reserves and c£77m of further budget proposals being identified.   However, this is clearly dependent on all the agreed service challenge savings being agreed and delivered fully within the timeframes identified, along with the other savings agreed in previous budget cycles.  Should any of these budget options ultimately not be taken forward they will need to be replaced with alternative savings to avoid increasing the size of the financial gap.  </w:t>
      </w:r>
    </w:p>
    <w:p w14:paraId="066E8AA1" w14:textId="77777777" w:rsidR="00AC2FA3" w:rsidRPr="00AC2FA3" w:rsidRDefault="00AC2FA3" w:rsidP="004321DB">
      <w:pPr>
        <w:spacing w:after="0"/>
        <w:jc w:val="both"/>
        <w:rPr>
          <w:rFonts w:cs="Arial"/>
          <w:b/>
          <w:bCs/>
          <w:szCs w:val="24"/>
        </w:rPr>
      </w:pPr>
    </w:p>
    <w:sectPr w:rsidR="00AC2FA3" w:rsidRPr="00AC2FA3" w:rsidSect="00C50B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492F" w14:textId="77777777" w:rsidR="006B6243" w:rsidRDefault="006B6243" w:rsidP="007A02AF">
      <w:pPr>
        <w:spacing w:after="0" w:line="240" w:lineRule="auto"/>
      </w:pPr>
      <w:r>
        <w:separator/>
      </w:r>
    </w:p>
  </w:endnote>
  <w:endnote w:type="continuationSeparator" w:id="0">
    <w:p w14:paraId="6DCA0EEB" w14:textId="77777777" w:rsidR="006B6243" w:rsidRDefault="006B6243" w:rsidP="007A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91E3" w14:textId="2B9A5367" w:rsidR="006B6243" w:rsidRDefault="006B6243">
    <w:pPr>
      <w:pStyle w:val="Footer"/>
      <w:jc w:val="center"/>
    </w:pPr>
  </w:p>
  <w:p w14:paraId="03D6B006" w14:textId="77777777" w:rsidR="006B6243" w:rsidRDefault="006B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83B1" w14:textId="77777777" w:rsidR="006B6243" w:rsidRDefault="006B6243" w:rsidP="007A02AF">
      <w:pPr>
        <w:spacing w:after="0" w:line="240" w:lineRule="auto"/>
      </w:pPr>
      <w:r>
        <w:separator/>
      </w:r>
    </w:p>
  </w:footnote>
  <w:footnote w:type="continuationSeparator" w:id="0">
    <w:p w14:paraId="50E58A10" w14:textId="77777777" w:rsidR="006B6243" w:rsidRDefault="006B6243" w:rsidP="007A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7E11"/>
    <w:multiLevelType w:val="hybridMultilevel"/>
    <w:tmpl w:val="DF3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0B6D"/>
    <w:multiLevelType w:val="hybridMultilevel"/>
    <w:tmpl w:val="F2C88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63A20"/>
    <w:multiLevelType w:val="hybridMultilevel"/>
    <w:tmpl w:val="272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73D0"/>
    <w:multiLevelType w:val="hybridMultilevel"/>
    <w:tmpl w:val="914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7D02"/>
    <w:multiLevelType w:val="hybridMultilevel"/>
    <w:tmpl w:val="ED44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A8C"/>
    <w:multiLevelType w:val="hybridMultilevel"/>
    <w:tmpl w:val="EEA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72B68"/>
    <w:multiLevelType w:val="hybridMultilevel"/>
    <w:tmpl w:val="401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212FF"/>
    <w:multiLevelType w:val="hybridMultilevel"/>
    <w:tmpl w:val="F14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A1AE7"/>
    <w:multiLevelType w:val="hybridMultilevel"/>
    <w:tmpl w:val="086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A4AD3"/>
    <w:multiLevelType w:val="multilevel"/>
    <w:tmpl w:val="8F94A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7511EB"/>
    <w:multiLevelType w:val="hybridMultilevel"/>
    <w:tmpl w:val="49DE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9625A3"/>
    <w:multiLevelType w:val="hybridMultilevel"/>
    <w:tmpl w:val="B404A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6529E"/>
    <w:multiLevelType w:val="hybridMultilevel"/>
    <w:tmpl w:val="8F3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C1795"/>
    <w:multiLevelType w:val="hybridMultilevel"/>
    <w:tmpl w:val="065660EC"/>
    <w:lvl w:ilvl="0" w:tplc="9A80B360">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909A4"/>
    <w:multiLevelType w:val="hybridMultilevel"/>
    <w:tmpl w:val="F670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F0ADE"/>
    <w:multiLevelType w:val="hybridMultilevel"/>
    <w:tmpl w:val="160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66A5B"/>
    <w:multiLevelType w:val="hybridMultilevel"/>
    <w:tmpl w:val="05E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7"/>
  </w:num>
  <w:num w:numId="6">
    <w:abstractNumId w:val="14"/>
  </w:num>
  <w:num w:numId="7">
    <w:abstractNumId w:val="8"/>
  </w:num>
  <w:num w:numId="8">
    <w:abstractNumId w:val="13"/>
  </w:num>
  <w:num w:numId="9">
    <w:abstractNumId w:val="4"/>
  </w:num>
  <w:num w:numId="10">
    <w:abstractNumId w:val="2"/>
  </w:num>
  <w:num w:numId="11">
    <w:abstractNumId w:val="17"/>
  </w:num>
  <w:num w:numId="12">
    <w:abstractNumId w:val="15"/>
  </w:num>
  <w:num w:numId="13">
    <w:abstractNumId w:val="9"/>
  </w:num>
  <w:num w:numId="14">
    <w:abstractNumId w:val="11"/>
  </w:num>
  <w:num w:numId="15">
    <w:abstractNumId w:val="18"/>
  </w:num>
  <w:num w:numId="16">
    <w:abstractNumId w:val="16"/>
  </w:num>
  <w:num w:numId="17">
    <w:abstractNumId w:val="3"/>
  </w:num>
  <w:num w:numId="18">
    <w:abstractNumId w:val="6"/>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3"/>
    <w:rsid w:val="00002131"/>
    <w:rsid w:val="00004FA3"/>
    <w:rsid w:val="00010358"/>
    <w:rsid w:val="00015A22"/>
    <w:rsid w:val="0001640E"/>
    <w:rsid w:val="000167FA"/>
    <w:rsid w:val="0002062B"/>
    <w:rsid w:val="0003042F"/>
    <w:rsid w:val="00031FEC"/>
    <w:rsid w:val="000326F0"/>
    <w:rsid w:val="00032C20"/>
    <w:rsid w:val="00033BC2"/>
    <w:rsid w:val="00034058"/>
    <w:rsid w:val="000346DC"/>
    <w:rsid w:val="00034DD4"/>
    <w:rsid w:val="000351B6"/>
    <w:rsid w:val="00035C87"/>
    <w:rsid w:val="00041E11"/>
    <w:rsid w:val="00042F63"/>
    <w:rsid w:val="00045426"/>
    <w:rsid w:val="00050C9F"/>
    <w:rsid w:val="000513D7"/>
    <w:rsid w:val="000518A4"/>
    <w:rsid w:val="00052ADB"/>
    <w:rsid w:val="00054F61"/>
    <w:rsid w:val="00055E30"/>
    <w:rsid w:val="00065F6F"/>
    <w:rsid w:val="00073C24"/>
    <w:rsid w:val="00075B93"/>
    <w:rsid w:val="00082634"/>
    <w:rsid w:val="00086200"/>
    <w:rsid w:val="00087F0C"/>
    <w:rsid w:val="000920B1"/>
    <w:rsid w:val="00093154"/>
    <w:rsid w:val="00096EFC"/>
    <w:rsid w:val="000A05A8"/>
    <w:rsid w:val="000A3791"/>
    <w:rsid w:val="000A6738"/>
    <w:rsid w:val="000B3CF5"/>
    <w:rsid w:val="000C0E3A"/>
    <w:rsid w:val="000C2DAE"/>
    <w:rsid w:val="000C3CC5"/>
    <w:rsid w:val="000C633A"/>
    <w:rsid w:val="000C6FFB"/>
    <w:rsid w:val="000D0B44"/>
    <w:rsid w:val="000D2180"/>
    <w:rsid w:val="000D5891"/>
    <w:rsid w:val="000D7AC2"/>
    <w:rsid w:val="000E1783"/>
    <w:rsid w:val="000E1A8F"/>
    <w:rsid w:val="000E27D4"/>
    <w:rsid w:val="000E3432"/>
    <w:rsid w:val="000F292A"/>
    <w:rsid w:val="00106F30"/>
    <w:rsid w:val="00107BF5"/>
    <w:rsid w:val="00112E62"/>
    <w:rsid w:val="00113E6C"/>
    <w:rsid w:val="00114287"/>
    <w:rsid w:val="00116220"/>
    <w:rsid w:val="00116970"/>
    <w:rsid w:val="001253C8"/>
    <w:rsid w:val="00127ADB"/>
    <w:rsid w:val="00130051"/>
    <w:rsid w:val="00133EFF"/>
    <w:rsid w:val="00134075"/>
    <w:rsid w:val="001371ED"/>
    <w:rsid w:val="001403AF"/>
    <w:rsid w:val="00144C3A"/>
    <w:rsid w:val="00145341"/>
    <w:rsid w:val="00151A93"/>
    <w:rsid w:val="001536AB"/>
    <w:rsid w:val="00153BC0"/>
    <w:rsid w:val="00157CD6"/>
    <w:rsid w:val="00163514"/>
    <w:rsid w:val="001652B2"/>
    <w:rsid w:val="001656A0"/>
    <w:rsid w:val="00167493"/>
    <w:rsid w:val="00170C26"/>
    <w:rsid w:val="00172784"/>
    <w:rsid w:val="00172DFA"/>
    <w:rsid w:val="00173291"/>
    <w:rsid w:val="00173A58"/>
    <w:rsid w:val="00176ADA"/>
    <w:rsid w:val="0018202F"/>
    <w:rsid w:val="00182237"/>
    <w:rsid w:val="0018241D"/>
    <w:rsid w:val="00182FA4"/>
    <w:rsid w:val="00193E03"/>
    <w:rsid w:val="001A1F97"/>
    <w:rsid w:val="001A65D6"/>
    <w:rsid w:val="001B04BD"/>
    <w:rsid w:val="001B12BE"/>
    <w:rsid w:val="001B20D6"/>
    <w:rsid w:val="001C6DF0"/>
    <w:rsid w:val="001C7053"/>
    <w:rsid w:val="001C7737"/>
    <w:rsid w:val="001D0484"/>
    <w:rsid w:val="001D0C34"/>
    <w:rsid w:val="001D4931"/>
    <w:rsid w:val="001D7894"/>
    <w:rsid w:val="001E03C3"/>
    <w:rsid w:val="001E10BB"/>
    <w:rsid w:val="001E277E"/>
    <w:rsid w:val="001E5B52"/>
    <w:rsid w:val="001F3654"/>
    <w:rsid w:val="001F45FB"/>
    <w:rsid w:val="00203550"/>
    <w:rsid w:val="0020410E"/>
    <w:rsid w:val="00205CE2"/>
    <w:rsid w:val="00212CCD"/>
    <w:rsid w:val="00215905"/>
    <w:rsid w:val="00216070"/>
    <w:rsid w:val="00216283"/>
    <w:rsid w:val="0022038B"/>
    <w:rsid w:val="00222049"/>
    <w:rsid w:val="002236B9"/>
    <w:rsid w:val="00224963"/>
    <w:rsid w:val="002261FE"/>
    <w:rsid w:val="00230220"/>
    <w:rsid w:val="00230711"/>
    <w:rsid w:val="00230DBB"/>
    <w:rsid w:val="00231696"/>
    <w:rsid w:val="00232AE9"/>
    <w:rsid w:val="0023394B"/>
    <w:rsid w:val="00234D9D"/>
    <w:rsid w:val="00235088"/>
    <w:rsid w:val="00235811"/>
    <w:rsid w:val="00236EFC"/>
    <w:rsid w:val="002376B9"/>
    <w:rsid w:val="00237A3C"/>
    <w:rsid w:val="00237B6B"/>
    <w:rsid w:val="00237B95"/>
    <w:rsid w:val="00240561"/>
    <w:rsid w:val="00240C46"/>
    <w:rsid w:val="00242C0B"/>
    <w:rsid w:val="00246CB4"/>
    <w:rsid w:val="00252456"/>
    <w:rsid w:val="00252953"/>
    <w:rsid w:val="00257F8A"/>
    <w:rsid w:val="0026320C"/>
    <w:rsid w:val="00264CF4"/>
    <w:rsid w:val="00266F4E"/>
    <w:rsid w:val="00267C99"/>
    <w:rsid w:val="00272254"/>
    <w:rsid w:val="0027365C"/>
    <w:rsid w:val="00280636"/>
    <w:rsid w:val="00283B67"/>
    <w:rsid w:val="00283CA2"/>
    <w:rsid w:val="00285147"/>
    <w:rsid w:val="0029176C"/>
    <w:rsid w:val="00293909"/>
    <w:rsid w:val="00293B60"/>
    <w:rsid w:val="002A4B32"/>
    <w:rsid w:val="002A6196"/>
    <w:rsid w:val="002B2A08"/>
    <w:rsid w:val="002C7323"/>
    <w:rsid w:val="002C7EEA"/>
    <w:rsid w:val="002D4C0A"/>
    <w:rsid w:val="002D500E"/>
    <w:rsid w:val="002D74F2"/>
    <w:rsid w:val="002E382D"/>
    <w:rsid w:val="002E3CFD"/>
    <w:rsid w:val="002E691D"/>
    <w:rsid w:val="002F0D1E"/>
    <w:rsid w:val="002F3201"/>
    <w:rsid w:val="002F6D66"/>
    <w:rsid w:val="00300D9C"/>
    <w:rsid w:val="0031170D"/>
    <w:rsid w:val="00313A7E"/>
    <w:rsid w:val="0031682E"/>
    <w:rsid w:val="00316AB9"/>
    <w:rsid w:val="00317256"/>
    <w:rsid w:val="00317423"/>
    <w:rsid w:val="003205A9"/>
    <w:rsid w:val="00327CA4"/>
    <w:rsid w:val="00327CBB"/>
    <w:rsid w:val="003337CC"/>
    <w:rsid w:val="00335210"/>
    <w:rsid w:val="00335EAE"/>
    <w:rsid w:val="00337117"/>
    <w:rsid w:val="00343217"/>
    <w:rsid w:val="00343B89"/>
    <w:rsid w:val="00344586"/>
    <w:rsid w:val="00345D9F"/>
    <w:rsid w:val="00347417"/>
    <w:rsid w:val="00347FF7"/>
    <w:rsid w:val="00351D95"/>
    <w:rsid w:val="00357159"/>
    <w:rsid w:val="00363761"/>
    <w:rsid w:val="00365979"/>
    <w:rsid w:val="0036718B"/>
    <w:rsid w:val="0037026E"/>
    <w:rsid w:val="00374E8E"/>
    <w:rsid w:val="00375447"/>
    <w:rsid w:val="003803BF"/>
    <w:rsid w:val="003808D3"/>
    <w:rsid w:val="00382F83"/>
    <w:rsid w:val="00384F9B"/>
    <w:rsid w:val="003862D8"/>
    <w:rsid w:val="003959B5"/>
    <w:rsid w:val="003A06FE"/>
    <w:rsid w:val="003A21E2"/>
    <w:rsid w:val="003A307C"/>
    <w:rsid w:val="003A3DA2"/>
    <w:rsid w:val="003B4017"/>
    <w:rsid w:val="003B403E"/>
    <w:rsid w:val="003B4292"/>
    <w:rsid w:val="003B5C24"/>
    <w:rsid w:val="003C0621"/>
    <w:rsid w:val="003D19FA"/>
    <w:rsid w:val="003D4433"/>
    <w:rsid w:val="003E006D"/>
    <w:rsid w:val="003E3AE5"/>
    <w:rsid w:val="003E3C92"/>
    <w:rsid w:val="003E4C8D"/>
    <w:rsid w:val="003E4DC9"/>
    <w:rsid w:val="003F17A9"/>
    <w:rsid w:val="003F1C03"/>
    <w:rsid w:val="003F4D11"/>
    <w:rsid w:val="003F7268"/>
    <w:rsid w:val="003F7F9E"/>
    <w:rsid w:val="004034E7"/>
    <w:rsid w:val="00407446"/>
    <w:rsid w:val="00421C51"/>
    <w:rsid w:val="00424AA3"/>
    <w:rsid w:val="004278F3"/>
    <w:rsid w:val="00430242"/>
    <w:rsid w:val="004321DB"/>
    <w:rsid w:val="0043791F"/>
    <w:rsid w:val="00437A66"/>
    <w:rsid w:val="0044456F"/>
    <w:rsid w:val="004452FB"/>
    <w:rsid w:val="004501F1"/>
    <w:rsid w:val="0045026B"/>
    <w:rsid w:val="004508B4"/>
    <w:rsid w:val="0045334D"/>
    <w:rsid w:val="00453F02"/>
    <w:rsid w:val="004548EE"/>
    <w:rsid w:val="00455D99"/>
    <w:rsid w:val="00456F45"/>
    <w:rsid w:val="00461D95"/>
    <w:rsid w:val="0046396F"/>
    <w:rsid w:val="00464763"/>
    <w:rsid w:val="00466306"/>
    <w:rsid w:val="004674A7"/>
    <w:rsid w:val="004708F6"/>
    <w:rsid w:val="004717DE"/>
    <w:rsid w:val="004733D8"/>
    <w:rsid w:val="004772E8"/>
    <w:rsid w:val="00477EA3"/>
    <w:rsid w:val="00481A9B"/>
    <w:rsid w:val="004825DB"/>
    <w:rsid w:val="00482684"/>
    <w:rsid w:val="00484791"/>
    <w:rsid w:val="00492946"/>
    <w:rsid w:val="004941FD"/>
    <w:rsid w:val="0049500B"/>
    <w:rsid w:val="00495FF2"/>
    <w:rsid w:val="00497271"/>
    <w:rsid w:val="004A0538"/>
    <w:rsid w:val="004A29A2"/>
    <w:rsid w:val="004B1D7F"/>
    <w:rsid w:val="004B3701"/>
    <w:rsid w:val="004C039D"/>
    <w:rsid w:val="004C0F29"/>
    <w:rsid w:val="004C3B69"/>
    <w:rsid w:val="004C63E1"/>
    <w:rsid w:val="004D0BFF"/>
    <w:rsid w:val="004D1948"/>
    <w:rsid w:val="004D22F1"/>
    <w:rsid w:val="004D47FD"/>
    <w:rsid w:val="004D5FE4"/>
    <w:rsid w:val="004E1E5E"/>
    <w:rsid w:val="004E77FF"/>
    <w:rsid w:val="004E7F6D"/>
    <w:rsid w:val="004F012E"/>
    <w:rsid w:val="004F0715"/>
    <w:rsid w:val="004F3237"/>
    <w:rsid w:val="004F48E0"/>
    <w:rsid w:val="00501ED3"/>
    <w:rsid w:val="005031A0"/>
    <w:rsid w:val="00503CD6"/>
    <w:rsid w:val="005044A8"/>
    <w:rsid w:val="005107A8"/>
    <w:rsid w:val="00510EEE"/>
    <w:rsid w:val="00511EA8"/>
    <w:rsid w:val="0051589C"/>
    <w:rsid w:val="00515C87"/>
    <w:rsid w:val="0051637C"/>
    <w:rsid w:val="0051679A"/>
    <w:rsid w:val="005170FB"/>
    <w:rsid w:val="00517D25"/>
    <w:rsid w:val="00522DAB"/>
    <w:rsid w:val="00523321"/>
    <w:rsid w:val="00523C75"/>
    <w:rsid w:val="00527478"/>
    <w:rsid w:val="0052785B"/>
    <w:rsid w:val="005310B1"/>
    <w:rsid w:val="00531146"/>
    <w:rsid w:val="00532565"/>
    <w:rsid w:val="005347EA"/>
    <w:rsid w:val="00537E10"/>
    <w:rsid w:val="00543EC0"/>
    <w:rsid w:val="00545F55"/>
    <w:rsid w:val="00546F65"/>
    <w:rsid w:val="005502D3"/>
    <w:rsid w:val="00550B04"/>
    <w:rsid w:val="005670CA"/>
    <w:rsid w:val="00571690"/>
    <w:rsid w:val="00572D19"/>
    <w:rsid w:val="00580475"/>
    <w:rsid w:val="005837DD"/>
    <w:rsid w:val="005837F9"/>
    <w:rsid w:val="00584A33"/>
    <w:rsid w:val="005863D0"/>
    <w:rsid w:val="005866C6"/>
    <w:rsid w:val="00591153"/>
    <w:rsid w:val="00593941"/>
    <w:rsid w:val="00594952"/>
    <w:rsid w:val="00595403"/>
    <w:rsid w:val="00596C7F"/>
    <w:rsid w:val="005A65D5"/>
    <w:rsid w:val="005A79EE"/>
    <w:rsid w:val="005B0DED"/>
    <w:rsid w:val="005B3898"/>
    <w:rsid w:val="005B5DFD"/>
    <w:rsid w:val="005C2F34"/>
    <w:rsid w:val="005C57E8"/>
    <w:rsid w:val="005C5B54"/>
    <w:rsid w:val="005C65FC"/>
    <w:rsid w:val="005C7493"/>
    <w:rsid w:val="005D07BE"/>
    <w:rsid w:val="005D3A12"/>
    <w:rsid w:val="005D4262"/>
    <w:rsid w:val="005D7791"/>
    <w:rsid w:val="005D77F3"/>
    <w:rsid w:val="005D7B41"/>
    <w:rsid w:val="005E0A2B"/>
    <w:rsid w:val="005E2B85"/>
    <w:rsid w:val="005E2F71"/>
    <w:rsid w:val="005E44DC"/>
    <w:rsid w:val="005F5124"/>
    <w:rsid w:val="005F6645"/>
    <w:rsid w:val="00600591"/>
    <w:rsid w:val="006029FA"/>
    <w:rsid w:val="0060376D"/>
    <w:rsid w:val="006050DB"/>
    <w:rsid w:val="0060578F"/>
    <w:rsid w:val="00605C00"/>
    <w:rsid w:val="006067B9"/>
    <w:rsid w:val="00606AA0"/>
    <w:rsid w:val="006107C6"/>
    <w:rsid w:val="00611EEF"/>
    <w:rsid w:val="006149AA"/>
    <w:rsid w:val="006162E1"/>
    <w:rsid w:val="00617C9B"/>
    <w:rsid w:val="00623879"/>
    <w:rsid w:val="00624D24"/>
    <w:rsid w:val="00626AB1"/>
    <w:rsid w:val="00627BE2"/>
    <w:rsid w:val="00630B2E"/>
    <w:rsid w:val="00632869"/>
    <w:rsid w:val="0063297E"/>
    <w:rsid w:val="006340A4"/>
    <w:rsid w:val="006357C3"/>
    <w:rsid w:val="00640B3B"/>
    <w:rsid w:val="0064103D"/>
    <w:rsid w:val="00641C14"/>
    <w:rsid w:val="00642549"/>
    <w:rsid w:val="006431FC"/>
    <w:rsid w:val="0064451B"/>
    <w:rsid w:val="00644A32"/>
    <w:rsid w:val="00646DD9"/>
    <w:rsid w:val="00647834"/>
    <w:rsid w:val="00655C87"/>
    <w:rsid w:val="00656775"/>
    <w:rsid w:val="00661624"/>
    <w:rsid w:val="00661CF7"/>
    <w:rsid w:val="00664E6A"/>
    <w:rsid w:val="00665B69"/>
    <w:rsid w:val="00666BD9"/>
    <w:rsid w:val="00667A93"/>
    <w:rsid w:val="00670AB0"/>
    <w:rsid w:val="00673506"/>
    <w:rsid w:val="00674E35"/>
    <w:rsid w:val="00674E42"/>
    <w:rsid w:val="00676561"/>
    <w:rsid w:val="006766EB"/>
    <w:rsid w:val="00683216"/>
    <w:rsid w:val="006835A9"/>
    <w:rsid w:val="00683A37"/>
    <w:rsid w:val="00683F8E"/>
    <w:rsid w:val="0068511F"/>
    <w:rsid w:val="006961F0"/>
    <w:rsid w:val="00697455"/>
    <w:rsid w:val="006A1A3B"/>
    <w:rsid w:val="006A1D9A"/>
    <w:rsid w:val="006A216A"/>
    <w:rsid w:val="006A2F32"/>
    <w:rsid w:val="006A73F6"/>
    <w:rsid w:val="006A7DCA"/>
    <w:rsid w:val="006B30FA"/>
    <w:rsid w:val="006B43E1"/>
    <w:rsid w:val="006B5214"/>
    <w:rsid w:val="006B6243"/>
    <w:rsid w:val="006C35D4"/>
    <w:rsid w:val="006C3CB7"/>
    <w:rsid w:val="006C47CA"/>
    <w:rsid w:val="006C755B"/>
    <w:rsid w:val="006D004E"/>
    <w:rsid w:val="006D25E6"/>
    <w:rsid w:val="006D5753"/>
    <w:rsid w:val="006D57A9"/>
    <w:rsid w:val="006D7BB3"/>
    <w:rsid w:val="006E22F7"/>
    <w:rsid w:val="006E4C82"/>
    <w:rsid w:val="006F0F6D"/>
    <w:rsid w:val="006F1E8A"/>
    <w:rsid w:val="006F2722"/>
    <w:rsid w:val="006F6120"/>
    <w:rsid w:val="006F7254"/>
    <w:rsid w:val="006F7838"/>
    <w:rsid w:val="007042B7"/>
    <w:rsid w:val="0070649C"/>
    <w:rsid w:val="00706D9D"/>
    <w:rsid w:val="0070766C"/>
    <w:rsid w:val="007209C8"/>
    <w:rsid w:val="00723131"/>
    <w:rsid w:val="00724F07"/>
    <w:rsid w:val="007274A6"/>
    <w:rsid w:val="007275F1"/>
    <w:rsid w:val="00727CA3"/>
    <w:rsid w:val="00736F79"/>
    <w:rsid w:val="00741EE3"/>
    <w:rsid w:val="00743B5B"/>
    <w:rsid w:val="00750028"/>
    <w:rsid w:val="00750F3F"/>
    <w:rsid w:val="007521A0"/>
    <w:rsid w:val="00752FC6"/>
    <w:rsid w:val="00756222"/>
    <w:rsid w:val="00766F10"/>
    <w:rsid w:val="00767C1F"/>
    <w:rsid w:val="00772206"/>
    <w:rsid w:val="00773B1F"/>
    <w:rsid w:val="00780644"/>
    <w:rsid w:val="00782C16"/>
    <w:rsid w:val="0078360F"/>
    <w:rsid w:val="00785D24"/>
    <w:rsid w:val="00787A09"/>
    <w:rsid w:val="007928FA"/>
    <w:rsid w:val="0079295B"/>
    <w:rsid w:val="0079519E"/>
    <w:rsid w:val="007954AD"/>
    <w:rsid w:val="00797AAD"/>
    <w:rsid w:val="007A02AF"/>
    <w:rsid w:val="007A4950"/>
    <w:rsid w:val="007A5150"/>
    <w:rsid w:val="007A55F5"/>
    <w:rsid w:val="007A61E4"/>
    <w:rsid w:val="007B35C1"/>
    <w:rsid w:val="007C0A63"/>
    <w:rsid w:val="007C41AC"/>
    <w:rsid w:val="007D3028"/>
    <w:rsid w:val="007D37F0"/>
    <w:rsid w:val="007E2BED"/>
    <w:rsid w:val="007E34E2"/>
    <w:rsid w:val="007E4110"/>
    <w:rsid w:val="007F0882"/>
    <w:rsid w:val="007F16A8"/>
    <w:rsid w:val="007F2C85"/>
    <w:rsid w:val="007F48D7"/>
    <w:rsid w:val="007F7959"/>
    <w:rsid w:val="00800174"/>
    <w:rsid w:val="00803070"/>
    <w:rsid w:val="00803C35"/>
    <w:rsid w:val="00806352"/>
    <w:rsid w:val="008107C5"/>
    <w:rsid w:val="00810F59"/>
    <w:rsid w:val="00811587"/>
    <w:rsid w:val="008119AF"/>
    <w:rsid w:val="00813899"/>
    <w:rsid w:val="008146DB"/>
    <w:rsid w:val="00816367"/>
    <w:rsid w:val="00816D99"/>
    <w:rsid w:val="008179E2"/>
    <w:rsid w:val="00827F59"/>
    <w:rsid w:val="00830CAF"/>
    <w:rsid w:val="00831B9F"/>
    <w:rsid w:val="008344C8"/>
    <w:rsid w:val="00836DA7"/>
    <w:rsid w:val="00841289"/>
    <w:rsid w:val="00842AFF"/>
    <w:rsid w:val="00847F33"/>
    <w:rsid w:val="00852A93"/>
    <w:rsid w:val="00855D18"/>
    <w:rsid w:val="00856C18"/>
    <w:rsid w:val="00862074"/>
    <w:rsid w:val="00863D72"/>
    <w:rsid w:val="00866D75"/>
    <w:rsid w:val="00867A8C"/>
    <w:rsid w:val="008713D9"/>
    <w:rsid w:val="00872414"/>
    <w:rsid w:val="008736A8"/>
    <w:rsid w:val="00875647"/>
    <w:rsid w:val="0087565D"/>
    <w:rsid w:val="00881BB5"/>
    <w:rsid w:val="00883AEC"/>
    <w:rsid w:val="00883EAF"/>
    <w:rsid w:val="0088407A"/>
    <w:rsid w:val="0088661A"/>
    <w:rsid w:val="008905BB"/>
    <w:rsid w:val="008921A0"/>
    <w:rsid w:val="00892B9B"/>
    <w:rsid w:val="008933A2"/>
    <w:rsid w:val="00893C5D"/>
    <w:rsid w:val="0089421B"/>
    <w:rsid w:val="008A0687"/>
    <w:rsid w:val="008A1AB4"/>
    <w:rsid w:val="008A2A1A"/>
    <w:rsid w:val="008B480A"/>
    <w:rsid w:val="008B4F8B"/>
    <w:rsid w:val="008C0267"/>
    <w:rsid w:val="008C0E4A"/>
    <w:rsid w:val="008C47BB"/>
    <w:rsid w:val="008C5824"/>
    <w:rsid w:val="008D3827"/>
    <w:rsid w:val="008D3C3D"/>
    <w:rsid w:val="008D3FBE"/>
    <w:rsid w:val="008E05C5"/>
    <w:rsid w:val="008E4942"/>
    <w:rsid w:val="008E6229"/>
    <w:rsid w:val="008F2516"/>
    <w:rsid w:val="008F308D"/>
    <w:rsid w:val="008F5A06"/>
    <w:rsid w:val="008F7561"/>
    <w:rsid w:val="00907D24"/>
    <w:rsid w:val="00907DCE"/>
    <w:rsid w:val="009112E3"/>
    <w:rsid w:val="00917479"/>
    <w:rsid w:val="009225F7"/>
    <w:rsid w:val="00922715"/>
    <w:rsid w:val="00922DBA"/>
    <w:rsid w:val="00925795"/>
    <w:rsid w:val="009264F1"/>
    <w:rsid w:val="00934822"/>
    <w:rsid w:val="0093682A"/>
    <w:rsid w:val="00942054"/>
    <w:rsid w:val="009427DD"/>
    <w:rsid w:val="009443CD"/>
    <w:rsid w:val="00947699"/>
    <w:rsid w:val="009537EC"/>
    <w:rsid w:val="00953D0D"/>
    <w:rsid w:val="009542AB"/>
    <w:rsid w:val="00954B44"/>
    <w:rsid w:val="00966D87"/>
    <w:rsid w:val="0097096D"/>
    <w:rsid w:val="009712FD"/>
    <w:rsid w:val="00975187"/>
    <w:rsid w:val="00981C26"/>
    <w:rsid w:val="00996B01"/>
    <w:rsid w:val="009970D7"/>
    <w:rsid w:val="009A7115"/>
    <w:rsid w:val="009B6685"/>
    <w:rsid w:val="009B7385"/>
    <w:rsid w:val="009C2FCA"/>
    <w:rsid w:val="009C6D93"/>
    <w:rsid w:val="009E0F17"/>
    <w:rsid w:val="009E1057"/>
    <w:rsid w:val="009E24A6"/>
    <w:rsid w:val="009E5B30"/>
    <w:rsid w:val="009E64B3"/>
    <w:rsid w:val="009E6B90"/>
    <w:rsid w:val="009F206C"/>
    <w:rsid w:val="009F2D84"/>
    <w:rsid w:val="009F4FEC"/>
    <w:rsid w:val="009F7AA1"/>
    <w:rsid w:val="00A02A48"/>
    <w:rsid w:val="00A04A8E"/>
    <w:rsid w:val="00A052A7"/>
    <w:rsid w:val="00A16532"/>
    <w:rsid w:val="00A17861"/>
    <w:rsid w:val="00A17EDA"/>
    <w:rsid w:val="00A22DE4"/>
    <w:rsid w:val="00A2343A"/>
    <w:rsid w:val="00A25653"/>
    <w:rsid w:val="00A275B3"/>
    <w:rsid w:val="00A27B8C"/>
    <w:rsid w:val="00A31313"/>
    <w:rsid w:val="00A34F05"/>
    <w:rsid w:val="00A379DB"/>
    <w:rsid w:val="00A536EA"/>
    <w:rsid w:val="00A6112A"/>
    <w:rsid w:val="00A6485F"/>
    <w:rsid w:val="00A6595B"/>
    <w:rsid w:val="00A678A9"/>
    <w:rsid w:val="00A70411"/>
    <w:rsid w:val="00A73239"/>
    <w:rsid w:val="00A764A5"/>
    <w:rsid w:val="00A7692F"/>
    <w:rsid w:val="00A76BC6"/>
    <w:rsid w:val="00A7763F"/>
    <w:rsid w:val="00A85101"/>
    <w:rsid w:val="00A87166"/>
    <w:rsid w:val="00A93928"/>
    <w:rsid w:val="00A93E0E"/>
    <w:rsid w:val="00A942D8"/>
    <w:rsid w:val="00A94A2C"/>
    <w:rsid w:val="00AA0F38"/>
    <w:rsid w:val="00AA35F3"/>
    <w:rsid w:val="00AB0789"/>
    <w:rsid w:val="00AB180C"/>
    <w:rsid w:val="00AB3CF4"/>
    <w:rsid w:val="00AB63BD"/>
    <w:rsid w:val="00AC1C30"/>
    <w:rsid w:val="00AC1F0C"/>
    <w:rsid w:val="00AC2FA3"/>
    <w:rsid w:val="00AC3EE3"/>
    <w:rsid w:val="00AC421D"/>
    <w:rsid w:val="00AC4805"/>
    <w:rsid w:val="00AC7A0F"/>
    <w:rsid w:val="00AD0EAD"/>
    <w:rsid w:val="00AD38DF"/>
    <w:rsid w:val="00AD4022"/>
    <w:rsid w:val="00AD44F1"/>
    <w:rsid w:val="00AD5323"/>
    <w:rsid w:val="00AD6638"/>
    <w:rsid w:val="00AD6ABB"/>
    <w:rsid w:val="00AE3E3C"/>
    <w:rsid w:val="00AE645C"/>
    <w:rsid w:val="00AF1CEB"/>
    <w:rsid w:val="00AF241E"/>
    <w:rsid w:val="00AF3C02"/>
    <w:rsid w:val="00AF4A13"/>
    <w:rsid w:val="00AF4B85"/>
    <w:rsid w:val="00AF5273"/>
    <w:rsid w:val="00B023AD"/>
    <w:rsid w:val="00B02DD1"/>
    <w:rsid w:val="00B05B90"/>
    <w:rsid w:val="00B12912"/>
    <w:rsid w:val="00B12E07"/>
    <w:rsid w:val="00B14420"/>
    <w:rsid w:val="00B15270"/>
    <w:rsid w:val="00B160D5"/>
    <w:rsid w:val="00B16B98"/>
    <w:rsid w:val="00B268C0"/>
    <w:rsid w:val="00B3161B"/>
    <w:rsid w:val="00B34772"/>
    <w:rsid w:val="00B36B40"/>
    <w:rsid w:val="00B405A9"/>
    <w:rsid w:val="00B51090"/>
    <w:rsid w:val="00B53C41"/>
    <w:rsid w:val="00B54A96"/>
    <w:rsid w:val="00B55353"/>
    <w:rsid w:val="00B55ABC"/>
    <w:rsid w:val="00B623AD"/>
    <w:rsid w:val="00B6280B"/>
    <w:rsid w:val="00B62A2E"/>
    <w:rsid w:val="00B64ACD"/>
    <w:rsid w:val="00B71651"/>
    <w:rsid w:val="00B741B2"/>
    <w:rsid w:val="00B748D6"/>
    <w:rsid w:val="00B75154"/>
    <w:rsid w:val="00B77D62"/>
    <w:rsid w:val="00B825A0"/>
    <w:rsid w:val="00B82D9A"/>
    <w:rsid w:val="00B84902"/>
    <w:rsid w:val="00B8575E"/>
    <w:rsid w:val="00B8648B"/>
    <w:rsid w:val="00B86B3B"/>
    <w:rsid w:val="00B92C65"/>
    <w:rsid w:val="00B95CD8"/>
    <w:rsid w:val="00BA1DB3"/>
    <w:rsid w:val="00BA4717"/>
    <w:rsid w:val="00BA5B07"/>
    <w:rsid w:val="00BA6803"/>
    <w:rsid w:val="00BA746C"/>
    <w:rsid w:val="00BB0958"/>
    <w:rsid w:val="00BC09EF"/>
    <w:rsid w:val="00BC0C05"/>
    <w:rsid w:val="00BC16B7"/>
    <w:rsid w:val="00BC2DA4"/>
    <w:rsid w:val="00BC3FE1"/>
    <w:rsid w:val="00BC46D7"/>
    <w:rsid w:val="00BC47C1"/>
    <w:rsid w:val="00BC5C91"/>
    <w:rsid w:val="00BD3BA6"/>
    <w:rsid w:val="00BD4222"/>
    <w:rsid w:val="00BD50DA"/>
    <w:rsid w:val="00BD74CD"/>
    <w:rsid w:val="00BE1D7B"/>
    <w:rsid w:val="00BF33F4"/>
    <w:rsid w:val="00BF5992"/>
    <w:rsid w:val="00BF6302"/>
    <w:rsid w:val="00C0169E"/>
    <w:rsid w:val="00C10C19"/>
    <w:rsid w:val="00C145DE"/>
    <w:rsid w:val="00C1644E"/>
    <w:rsid w:val="00C173E7"/>
    <w:rsid w:val="00C2222D"/>
    <w:rsid w:val="00C265F6"/>
    <w:rsid w:val="00C32635"/>
    <w:rsid w:val="00C327AE"/>
    <w:rsid w:val="00C327DC"/>
    <w:rsid w:val="00C333F0"/>
    <w:rsid w:val="00C343AD"/>
    <w:rsid w:val="00C3597B"/>
    <w:rsid w:val="00C36E97"/>
    <w:rsid w:val="00C36FEB"/>
    <w:rsid w:val="00C451FF"/>
    <w:rsid w:val="00C50BD4"/>
    <w:rsid w:val="00C54EDA"/>
    <w:rsid w:val="00C5524B"/>
    <w:rsid w:val="00C648E8"/>
    <w:rsid w:val="00C65BAF"/>
    <w:rsid w:val="00C67D49"/>
    <w:rsid w:val="00C727DC"/>
    <w:rsid w:val="00C73C41"/>
    <w:rsid w:val="00C749A3"/>
    <w:rsid w:val="00C75AEC"/>
    <w:rsid w:val="00C76E73"/>
    <w:rsid w:val="00C77658"/>
    <w:rsid w:val="00C81680"/>
    <w:rsid w:val="00C86DAA"/>
    <w:rsid w:val="00C91EBC"/>
    <w:rsid w:val="00C933C0"/>
    <w:rsid w:val="00C95E4F"/>
    <w:rsid w:val="00C968C2"/>
    <w:rsid w:val="00C971BA"/>
    <w:rsid w:val="00C973CF"/>
    <w:rsid w:val="00CA2EBC"/>
    <w:rsid w:val="00CA461C"/>
    <w:rsid w:val="00CA73CC"/>
    <w:rsid w:val="00CB36F8"/>
    <w:rsid w:val="00CB3C68"/>
    <w:rsid w:val="00CB4FA0"/>
    <w:rsid w:val="00CC311C"/>
    <w:rsid w:val="00CC70E0"/>
    <w:rsid w:val="00CD1090"/>
    <w:rsid w:val="00CD1932"/>
    <w:rsid w:val="00CD5307"/>
    <w:rsid w:val="00CE14AC"/>
    <w:rsid w:val="00CE1E34"/>
    <w:rsid w:val="00CE76CA"/>
    <w:rsid w:val="00CF133F"/>
    <w:rsid w:val="00CF4938"/>
    <w:rsid w:val="00CF6C2B"/>
    <w:rsid w:val="00CF7290"/>
    <w:rsid w:val="00D0078E"/>
    <w:rsid w:val="00D02B3A"/>
    <w:rsid w:val="00D0554C"/>
    <w:rsid w:val="00D05BCC"/>
    <w:rsid w:val="00D1717A"/>
    <w:rsid w:val="00D1773D"/>
    <w:rsid w:val="00D21727"/>
    <w:rsid w:val="00D23FFB"/>
    <w:rsid w:val="00D243F8"/>
    <w:rsid w:val="00D24AE3"/>
    <w:rsid w:val="00D25947"/>
    <w:rsid w:val="00D2667A"/>
    <w:rsid w:val="00D27B61"/>
    <w:rsid w:val="00D31A89"/>
    <w:rsid w:val="00D3412A"/>
    <w:rsid w:val="00D40154"/>
    <w:rsid w:val="00D40226"/>
    <w:rsid w:val="00D4182B"/>
    <w:rsid w:val="00D45004"/>
    <w:rsid w:val="00D46268"/>
    <w:rsid w:val="00D467C0"/>
    <w:rsid w:val="00D50233"/>
    <w:rsid w:val="00D54916"/>
    <w:rsid w:val="00D550E8"/>
    <w:rsid w:val="00D57906"/>
    <w:rsid w:val="00D61C9C"/>
    <w:rsid w:val="00D64297"/>
    <w:rsid w:val="00D675AE"/>
    <w:rsid w:val="00D727D9"/>
    <w:rsid w:val="00D753D4"/>
    <w:rsid w:val="00D75FD2"/>
    <w:rsid w:val="00D770EC"/>
    <w:rsid w:val="00D77763"/>
    <w:rsid w:val="00D80A6B"/>
    <w:rsid w:val="00D852DC"/>
    <w:rsid w:val="00D85710"/>
    <w:rsid w:val="00D91899"/>
    <w:rsid w:val="00D91CB5"/>
    <w:rsid w:val="00D94626"/>
    <w:rsid w:val="00D95E0B"/>
    <w:rsid w:val="00D965E8"/>
    <w:rsid w:val="00D96EE4"/>
    <w:rsid w:val="00DA2EEC"/>
    <w:rsid w:val="00DA38BF"/>
    <w:rsid w:val="00DA7D82"/>
    <w:rsid w:val="00DB0DA7"/>
    <w:rsid w:val="00DC081E"/>
    <w:rsid w:val="00DC2FDB"/>
    <w:rsid w:val="00DC70F1"/>
    <w:rsid w:val="00DC77B6"/>
    <w:rsid w:val="00DD20CF"/>
    <w:rsid w:val="00DD277C"/>
    <w:rsid w:val="00DD618D"/>
    <w:rsid w:val="00DD7A16"/>
    <w:rsid w:val="00DE0C87"/>
    <w:rsid w:val="00DE1ADC"/>
    <w:rsid w:val="00DE3D94"/>
    <w:rsid w:val="00DE45C1"/>
    <w:rsid w:val="00DE6C17"/>
    <w:rsid w:val="00DF0B16"/>
    <w:rsid w:val="00DF1C04"/>
    <w:rsid w:val="00DF3491"/>
    <w:rsid w:val="00DF5474"/>
    <w:rsid w:val="00DF61D0"/>
    <w:rsid w:val="00DF71CC"/>
    <w:rsid w:val="00E01A82"/>
    <w:rsid w:val="00E04D95"/>
    <w:rsid w:val="00E143F4"/>
    <w:rsid w:val="00E1660A"/>
    <w:rsid w:val="00E20879"/>
    <w:rsid w:val="00E22728"/>
    <w:rsid w:val="00E24DD7"/>
    <w:rsid w:val="00E306DD"/>
    <w:rsid w:val="00E3274B"/>
    <w:rsid w:val="00E34EED"/>
    <w:rsid w:val="00E40C4F"/>
    <w:rsid w:val="00E4206E"/>
    <w:rsid w:val="00E4284E"/>
    <w:rsid w:val="00E46A6F"/>
    <w:rsid w:val="00E50825"/>
    <w:rsid w:val="00E510D1"/>
    <w:rsid w:val="00E51E0E"/>
    <w:rsid w:val="00E538C0"/>
    <w:rsid w:val="00E54DF2"/>
    <w:rsid w:val="00E572B6"/>
    <w:rsid w:val="00E6003E"/>
    <w:rsid w:val="00E6072E"/>
    <w:rsid w:val="00E67381"/>
    <w:rsid w:val="00E72046"/>
    <w:rsid w:val="00E743C3"/>
    <w:rsid w:val="00E76F60"/>
    <w:rsid w:val="00E77F7E"/>
    <w:rsid w:val="00E80641"/>
    <w:rsid w:val="00E8276D"/>
    <w:rsid w:val="00E86510"/>
    <w:rsid w:val="00E8743D"/>
    <w:rsid w:val="00E8787E"/>
    <w:rsid w:val="00E87C9E"/>
    <w:rsid w:val="00E90830"/>
    <w:rsid w:val="00E917F6"/>
    <w:rsid w:val="00E96E42"/>
    <w:rsid w:val="00EA0F97"/>
    <w:rsid w:val="00EA1CA6"/>
    <w:rsid w:val="00EA1CEE"/>
    <w:rsid w:val="00EA22B0"/>
    <w:rsid w:val="00EA34E3"/>
    <w:rsid w:val="00EA3BE8"/>
    <w:rsid w:val="00EA505A"/>
    <w:rsid w:val="00EB0663"/>
    <w:rsid w:val="00EB2007"/>
    <w:rsid w:val="00EB4EC6"/>
    <w:rsid w:val="00EB6EC2"/>
    <w:rsid w:val="00EC11C4"/>
    <w:rsid w:val="00EC19EE"/>
    <w:rsid w:val="00EC43E8"/>
    <w:rsid w:val="00EC69EB"/>
    <w:rsid w:val="00ED2B56"/>
    <w:rsid w:val="00ED50EF"/>
    <w:rsid w:val="00EE0166"/>
    <w:rsid w:val="00EE06A5"/>
    <w:rsid w:val="00EE414E"/>
    <w:rsid w:val="00F037E8"/>
    <w:rsid w:val="00F0448F"/>
    <w:rsid w:val="00F06710"/>
    <w:rsid w:val="00F077DD"/>
    <w:rsid w:val="00F10AAE"/>
    <w:rsid w:val="00F10CDE"/>
    <w:rsid w:val="00F132AD"/>
    <w:rsid w:val="00F1670F"/>
    <w:rsid w:val="00F16A68"/>
    <w:rsid w:val="00F17FF8"/>
    <w:rsid w:val="00F20867"/>
    <w:rsid w:val="00F25DA2"/>
    <w:rsid w:val="00F271D0"/>
    <w:rsid w:val="00F30781"/>
    <w:rsid w:val="00F318A6"/>
    <w:rsid w:val="00F31AB6"/>
    <w:rsid w:val="00F37803"/>
    <w:rsid w:val="00F4518F"/>
    <w:rsid w:val="00F458F3"/>
    <w:rsid w:val="00F52993"/>
    <w:rsid w:val="00F55C4D"/>
    <w:rsid w:val="00F606FE"/>
    <w:rsid w:val="00F64425"/>
    <w:rsid w:val="00F653CB"/>
    <w:rsid w:val="00F71098"/>
    <w:rsid w:val="00F71CDE"/>
    <w:rsid w:val="00F71F98"/>
    <w:rsid w:val="00F7294A"/>
    <w:rsid w:val="00F75D23"/>
    <w:rsid w:val="00F76AAE"/>
    <w:rsid w:val="00F8395F"/>
    <w:rsid w:val="00F858F5"/>
    <w:rsid w:val="00F905D3"/>
    <w:rsid w:val="00FA0012"/>
    <w:rsid w:val="00FA1542"/>
    <w:rsid w:val="00FA3D55"/>
    <w:rsid w:val="00FA7CFE"/>
    <w:rsid w:val="00FB080F"/>
    <w:rsid w:val="00FB798D"/>
    <w:rsid w:val="00FC4B07"/>
    <w:rsid w:val="00FC6721"/>
    <w:rsid w:val="00FC7666"/>
    <w:rsid w:val="00FD1766"/>
    <w:rsid w:val="00FE1E7E"/>
    <w:rsid w:val="00FE2303"/>
    <w:rsid w:val="00FE3BD8"/>
    <w:rsid w:val="00FE3DFE"/>
    <w:rsid w:val="00FE47CF"/>
    <w:rsid w:val="00FE5CF3"/>
    <w:rsid w:val="00FF0FC2"/>
    <w:rsid w:val="00FF20C7"/>
    <w:rsid w:val="00FF313F"/>
    <w:rsid w:val="00F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1749077"/>
  <w15:docId w15:val="{435F5B0B-7898-4E76-AEFC-F767037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79"/>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5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350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locked/>
    <w:rsid w:val="00AC2F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4089">
      <w:bodyDiv w:val="1"/>
      <w:marLeft w:val="0"/>
      <w:marRight w:val="0"/>
      <w:marTop w:val="0"/>
      <w:marBottom w:val="0"/>
      <w:divBdr>
        <w:top w:val="none" w:sz="0" w:space="0" w:color="auto"/>
        <w:left w:val="none" w:sz="0" w:space="0" w:color="auto"/>
        <w:bottom w:val="none" w:sz="0" w:space="0" w:color="auto"/>
        <w:right w:val="none" w:sz="0" w:space="0" w:color="auto"/>
      </w:divBdr>
    </w:div>
    <w:div w:id="1412236275">
      <w:bodyDiv w:val="1"/>
      <w:marLeft w:val="0"/>
      <w:marRight w:val="0"/>
      <w:marTop w:val="0"/>
      <w:marBottom w:val="0"/>
      <w:divBdr>
        <w:top w:val="none" w:sz="0" w:space="0" w:color="auto"/>
        <w:left w:val="none" w:sz="0" w:space="0" w:color="auto"/>
        <w:bottom w:val="none" w:sz="0" w:space="0" w:color="auto"/>
        <w:right w:val="none" w:sz="0" w:space="0" w:color="auto"/>
      </w:divBdr>
    </w:div>
    <w:div w:id="1718967020">
      <w:bodyDiv w:val="1"/>
      <w:marLeft w:val="0"/>
      <w:marRight w:val="0"/>
      <w:marTop w:val="0"/>
      <w:marBottom w:val="0"/>
      <w:divBdr>
        <w:top w:val="none" w:sz="0" w:space="0" w:color="auto"/>
        <w:left w:val="none" w:sz="0" w:space="0" w:color="auto"/>
        <w:bottom w:val="none" w:sz="0" w:space="0" w:color="auto"/>
        <w:right w:val="none" w:sz="0" w:space="0" w:color="auto"/>
      </w:divBdr>
    </w:div>
    <w:div w:id="1777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7106-B939-479B-8C0F-2D99841D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Gorman, Dave</cp:lastModifiedBy>
  <cp:revision>3</cp:revision>
  <cp:lastPrinted>2018-01-30T12:37:00Z</cp:lastPrinted>
  <dcterms:created xsi:type="dcterms:W3CDTF">2019-02-06T16:51:00Z</dcterms:created>
  <dcterms:modified xsi:type="dcterms:W3CDTF">2019-02-06T16:52:00Z</dcterms:modified>
</cp:coreProperties>
</file>